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1D3EE" w14:textId="77777777" w:rsidR="00A807B1" w:rsidRDefault="0039365D">
      <w:pPr>
        <w:spacing w:line="203"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57216" behindDoc="1" locked="0" layoutInCell="0" allowOverlap="1" wp14:anchorId="2756D22A" wp14:editId="48C9540C">
            <wp:simplePos x="0" y="0"/>
            <wp:positionH relativeFrom="page">
              <wp:posOffset>1505585</wp:posOffset>
            </wp:positionH>
            <wp:positionV relativeFrom="page">
              <wp:posOffset>1003935</wp:posOffset>
            </wp:positionV>
            <wp:extent cx="2258695" cy="413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blip>
                    <a:srcRect/>
                    <a:stretch>
                      <a:fillRect/>
                    </a:stretch>
                  </pic:blipFill>
                  <pic:spPr bwMode="auto">
                    <a:xfrm>
                      <a:off x="0" y="0"/>
                      <a:ext cx="2258695" cy="413385"/>
                    </a:xfrm>
                    <a:prstGeom prst="rect">
                      <a:avLst/>
                    </a:prstGeom>
                    <a:noFill/>
                  </pic:spPr>
                </pic:pic>
              </a:graphicData>
            </a:graphic>
          </wp:anchor>
        </w:drawing>
      </w:r>
    </w:p>
    <w:p w14:paraId="504C5389" w14:textId="760D5BAB" w:rsidR="00A807B1" w:rsidRDefault="00B63ADE" w:rsidP="00073600">
      <w:pPr>
        <w:ind w:left="4540"/>
        <w:jc w:val="both"/>
        <w:rPr>
          <w:sz w:val="20"/>
          <w:szCs w:val="20"/>
        </w:rPr>
      </w:pPr>
      <w:r>
        <w:rPr>
          <w:rFonts w:ascii="Arial" w:eastAsia="Arial" w:hAnsi="Arial" w:cs="Arial"/>
          <w:sz w:val="12"/>
          <w:szCs w:val="12"/>
        </w:rPr>
        <w:t>REVISTA DE MÉ</w:t>
      </w:r>
      <w:r w:rsidR="0039365D">
        <w:rPr>
          <w:rFonts w:ascii="Arial" w:eastAsia="Arial" w:hAnsi="Arial" w:cs="Arial"/>
          <w:sz w:val="12"/>
          <w:szCs w:val="12"/>
        </w:rPr>
        <w:t xml:space="preserve">TODOS CUANTITATIVOS </w:t>
      </w:r>
      <w:r w:rsidR="0039365D" w:rsidRPr="00E820C6">
        <w:rPr>
          <w:rFonts w:ascii="Arial" w:eastAsia="Arial" w:hAnsi="Arial" w:cs="Arial"/>
          <w:sz w:val="12"/>
          <w:szCs w:val="12"/>
        </w:rPr>
        <w:t>PARA LA</w:t>
      </w:r>
      <w:r w:rsidR="00073600" w:rsidRPr="00E820C6">
        <w:rPr>
          <w:rFonts w:ascii="Arial" w:eastAsia="Arial" w:hAnsi="Arial" w:cs="Arial"/>
          <w:sz w:val="12"/>
          <w:szCs w:val="12"/>
        </w:rPr>
        <w:t xml:space="preserve"> ECONOMÍA Y LA EMPRESA (</w:t>
      </w:r>
      <w:r w:rsidR="00BA6D9A" w:rsidRPr="00E820C6">
        <w:rPr>
          <w:rFonts w:ascii="Arial" w:eastAsia="Arial" w:hAnsi="Arial" w:cs="Arial"/>
          <w:sz w:val="12"/>
          <w:szCs w:val="12"/>
        </w:rPr>
        <w:t>30</w:t>
      </w:r>
      <w:r w:rsidR="00073600" w:rsidRPr="00E820C6">
        <w:rPr>
          <w:rFonts w:ascii="Arial" w:eastAsia="Arial" w:hAnsi="Arial" w:cs="Arial"/>
          <w:sz w:val="12"/>
          <w:szCs w:val="12"/>
        </w:rPr>
        <w:t>).</w:t>
      </w:r>
      <w:r w:rsidR="00E820C6" w:rsidRPr="00E820C6">
        <w:rPr>
          <w:rFonts w:ascii="Arial" w:eastAsia="Arial" w:hAnsi="Arial" w:cs="Arial"/>
          <w:sz w:val="12"/>
          <w:szCs w:val="12"/>
        </w:rPr>
        <w:t xml:space="preserve"> </w:t>
      </w:r>
      <w:r w:rsidR="00E820C6" w:rsidRPr="00E820C6">
        <w:rPr>
          <w:rFonts w:ascii="Arial" w:eastAsia="Arial" w:hAnsi="Arial" w:cs="Arial"/>
          <w:sz w:val="12"/>
          <w:szCs w:val="12"/>
        </w:rPr>
        <w:tab/>
        <w:t xml:space="preserve">                     </w:t>
      </w:r>
      <w:r w:rsidR="00073600" w:rsidRPr="00E820C6">
        <w:rPr>
          <w:rFonts w:ascii="Arial" w:eastAsia="Arial" w:hAnsi="Arial" w:cs="Arial"/>
          <w:sz w:val="12"/>
          <w:szCs w:val="12"/>
        </w:rPr>
        <w:t xml:space="preserve">Páginas </w:t>
      </w:r>
      <w:r w:rsidR="00293E79" w:rsidRPr="00E820C6">
        <w:rPr>
          <w:rFonts w:ascii="Arial" w:eastAsia="Arial" w:hAnsi="Arial" w:cs="Arial"/>
          <w:sz w:val="12"/>
          <w:szCs w:val="12"/>
        </w:rPr>
        <w:t>9</w:t>
      </w:r>
      <w:r w:rsidR="00EC1F40" w:rsidRPr="00E820C6">
        <w:rPr>
          <w:rFonts w:ascii="Arial" w:eastAsia="Arial" w:hAnsi="Arial" w:cs="Arial"/>
          <w:sz w:val="12"/>
          <w:szCs w:val="12"/>
        </w:rPr>
        <w:t>7</w:t>
      </w:r>
      <w:r w:rsidR="00073600" w:rsidRPr="00E820C6">
        <w:rPr>
          <w:rFonts w:ascii="Arial" w:eastAsia="Arial" w:hAnsi="Arial" w:cs="Arial"/>
          <w:sz w:val="12"/>
          <w:szCs w:val="12"/>
        </w:rPr>
        <w:t>-</w:t>
      </w:r>
      <w:r w:rsidR="00E820C6" w:rsidRPr="00E820C6">
        <w:rPr>
          <w:rFonts w:ascii="Arial" w:eastAsia="Arial" w:hAnsi="Arial" w:cs="Arial"/>
          <w:sz w:val="12"/>
          <w:szCs w:val="12"/>
        </w:rPr>
        <w:t>116</w:t>
      </w:r>
      <w:r w:rsidR="00073600" w:rsidRPr="00E820C6">
        <w:rPr>
          <w:rFonts w:ascii="Arial" w:eastAsia="Arial" w:hAnsi="Arial" w:cs="Arial"/>
          <w:sz w:val="12"/>
          <w:szCs w:val="12"/>
        </w:rPr>
        <w:t>.</w:t>
      </w:r>
    </w:p>
    <w:p w14:paraId="1B2D9533" w14:textId="77777777" w:rsidR="00A807B1" w:rsidRDefault="00A807B1">
      <w:pPr>
        <w:spacing w:line="8" w:lineRule="exact"/>
        <w:rPr>
          <w:sz w:val="24"/>
          <w:szCs w:val="24"/>
        </w:rPr>
      </w:pPr>
    </w:p>
    <w:p w14:paraId="3EC1849E" w14:textId="7B7C8D95" w:rsidR="00A807B1" w:rsidRDefault="00073600" w:rsidP="00073600">
      <w:pPr>
        <w:tabs>
          <w:tab w:val="left" w:pos="2260"/>
        </w:tabs>
        <w:spacing w:line="193" w:lineRule="auto"/>
        <w:ind w:right="-22"/>
        <w:jc w:val="right"/>
        <w:rPr>
          <w:sz w:val="20"/>
          <w:szCs w:val="20"/>
        </w:rPr>
      </w:pPr>
      <w:r>
        <w:rPr>
          <w:rFonts w:ascii="Arial" w:eastAsia="Arial" w:hAnsi="Arial" w:cs="Arial"/>
          <w:sz w:val="12"/>
          <w:szCs w:val="12"/>
        </w:rPr>
        <w:t xml:space="preserve">                  </w:t>
      </w:r>
      <w:r w:rsidR="00E15974">
        <w:rPr>
          <w:rFonts w:ascii="Arial" w:eastAsia="Arial" w:hAnsi="Arial" w:cs="Arial"/>
          <w:sz w:val="12"/>
          <w:szCs w:val="12"/>
        </w:rPr>
        <w:t xml:space="preserve"> </w:t>
      </w:r>
      <w:r w:rsidR="00E26993">
        <w:rPr>
          <w:rFonts w:ascii="Arial" w:eastAsia="Arial" w:hAnsi="Arial" w:cs="Arial"/>
          <w:sz w:val="12"/>
          <w:szCs w:val="12"/>
        </w:rPr>
        <w:t xml:space="preserve"> Diciembre</w:t>
      </w:r>
      <w:r w:rsidR="00381624">
        <w:rPr>
          <w:rFonts w:ascii="Arial" w:eastAsia="Arial" w:hAnsi="Arial" w:cs="Arial"/>
          <w:sz w:val="12"/>
          <w:szCs w:val="12"/>
        </w:rPr>
        <w:t xml:space="preserve"> d</w:t>
      </w:r>
      <w:r w:rsidR="0039365D" w:rsidRPr="00E15974">
        <w:rPr>
          <w:rFonts w:ascii="Arial" w:eastAsia="Arial" w:hAnsi="Arial" w:cs="Arial"/>
          <w:sz w:val="12"/>
          <w:szCs w:val="12"/>
        </w:rPr>
        <w:t>e 20</w:t>
      </w:r>
      <w:r w:rsidR="00381624">
        <w:rPr>
          <w:rFonts w:ascii="Arial" w:eastAsia="Arial" w:hAnsi="Arial" w:cs="Arial"/>
          <w:sz w:val="12"/>
          <w:szCs w:val="12"/>
        </w:rPr>
        <w:t>20</w:t>
      </w:r>
      <w:r w:rsidR="0039365D" w:rsidRPr="00E15974">
        <w:rPr>
          <w:rFonts w:ascii="Arial" w:eastAsia="Arial" w:hAnsi="Arial" w:cs="Arial"/>
          <w:sz w:val="12"/>
          <w:szCs w:val="12"/>
        </w:rPr>
        <w:t>.</w:t>
      </w:r>
      <w:r w:rsidR="0039365D">
        <w:rPr>
          <w:sz w:val="20"/>
          <w:szCs w:val="20"/>
        </w:rPr>
        <w:tab/>
      </w:r>
      <w:r w:rsidR="0039365D">
        <w:rPr>
          <w:rFonts w:ascii="Arial" w:eastAsia="Arial" w:hAnsi="Arial" w:cs="Arial"/>
          <w:sz w:val="12"/>
          <w:szCs w:val="12"/>
        </w:rPr>
        <w:t>ISSN: 1886-516X. D.L: SE-2927-06.</w:t>
      </w:r>
    </w:p>
    <w:p w14:paraId="210978FE" w14:textId="77777777" w:rsidR="00A807B1" w:rsidRDefault="00A807B1">
      <w:pPr>
        <w:spacing w:line="1" w:lineRule="exact"/>
        <w:rPr>
          <w:sz w:val="24"/>
          <w:szCs w:val="24"/>
        </w:rPr>
      </w:pPr>
    </w:p>
    <w:p w14:paraId="037368B7" w14:textId="60EE4CEC" w:rsidR="00A807B1" w:rsidRPr="00073600" w:rsidRDefault="00073600" w:rsidP="00073600">
      <w:pPr>
        <w:ind w:left="4320" w:right="-22"/>
        <w:jc w:val="both"/>
        <w:rPr>
          <w:rFonts w:ascii="Arial" w:eastAsia="Arial" w:hAnsi="Arial" w:cs="Arial"/>
          <w:sz w:val="12"/>
          <w:szCs w:val="12"/>
        </w:rPr>
      </w:pPr>
      <w:r>
        <w:rPr>
          <w:rFonts w:ascii="Arial" w:eastAsia="Arial" w:hAnsi="Arial" w:cs="Arial"/>
          <w:sz w:val="12"/>
          <w:szCs w:val="12"/>
        </w:rPr>
        <w:t xml:space="preserve">       w</w:t>
      </w:r>
      <w:r w:rsidR="0039365D">
        <w:rPr>
          <w:rFonts w:ascii="Arial" w:eastAsia="Arial" w:hAnsi="Arial" w:cs="Arial"/>
          <w:sz w:val="12"/>
          <w:szCs w:val="12"/>
        </w:rPr>
        <w:t>ww.upo.es/revistas/index.php/RevMetCuant/</w:t>
      </w:r>
      <w:r w:rsidR="0039365D" w:rsidRPr="000B4D16">
        <w:rPr>
          <w:rFonts w:ascii="Arial" w:eastAsia="Arial" w:hAnsi="Arial" w:cs="Arial"/>
          <w:sz w:val="12"/>
          <w:szCs w:val="12"/>
        </w:rPr>
        <w:t>article</w:t>
      </w:r>
      <w:r w:rsidR="0039365D" w:rsidRPr="00293E79">
        <w:rPr>
          <w:rFonts w:ascii="Arial" w:eastAsia="Arial" w:hAnsi="Arial" w:cs="Arial"/>
          <w:sz w:val="12"/>
          <w:szCs w:val="12"/>
        </w:rPr>
        <w:t>/view/</w:t>
      </w:r>
      <w:r w:rsidR="00293E79" w:rsidRPr="00293E79">
        <w:rPr>
          <w:rFonts w:ascii="Arial" w:eastAsia="Arial" w:hAnsi="Arial" w:cs="Arial"/>
          <w:sz w:val="12"/>
          <w:szCs w:val="12"/>
        </w:rPr>
        <w:t>3855</w:t>
      </w:r>
    </w:p>
    <w:p w14:paraId="7D84F00C" w14:textId="77777777" w:rsidR="00A807B1" w:rsidRDefault="00A807B1">
      <w:pPr>
        <w:spacing w:line="246" w:lineRule="exact"/>
        <w:rPr>
          <w:sz w:val="24"/>
          <w:szCs w:val="24"/>
        </w:rPr>
      </w:pPr>
    </w:p>
    <w:p w14:paraId="35087344" w14:textId="3855B1CE" w:rsidR="00381624" w:rsidRPr="004C7AF5" w:rsidRDefault="00381624" w:rsidP="00381624">
      <w:pPr>
        <w:ind w:left="1360" w:right="687"/>
        <w:jc w:val="center"/>
        <w:rPr>
          <w:rFonts w:ascii="Sylfaen" w:eastAsia="Arial" w:hAnsi="Sylfaen" w:cs="Arial"/>
          <w:b/>
          <w:sz w:val="30"/>
          <w:szCs w:val="30"/>
        </w:rPr>
      </w:pPr>
    </w:p>
    <w:p w14:paraId="4A930DC4" w14:textId="77777777" w:rsidR="00F615DF" w:rsidRPr="00380952" w:rsidRDefault="00F615DF" w:rsidP="00381624">
      <w:pPr>
        <w:ind w:left="1360" w:right="687"/>
        <w:jc w:val="center"/>
        <w:rPr>
          <w:rFonts w:ascii="Sylfaen" w:eastAsia="Arial" w:hAnsi="Sylfaen" w:cs="Arial"/>
          <w:b/>
          <w:sz w:val="20"/>
          <w:szCs w:val="20"/>
        </w:rPr>
      </w:pPr>
    </w:p>
    <w:p w14:paraId="6FF9E5B5" w14:textId="70A8C31E" w:rsidR="00A807B1" w:rsidRPr="0083150C" w:rsidRDefault="00293E79" w:rsidP="00EE7CAD">
      <w:pPr>
        <w:ind w:left="1360" w:right="687"/>
        <w:jc w:val="center"/>
        <w:rPr>
          <w:rFonts w:ascii="Sylfaen" w:eastAsia="Arial" w:hAnsi="Sylfaen" w:cs="Arial"/>
          <w:b/>
          <w:sz w:val="30"/>
          <w:szCs w:val="30"/>
        </w:rPr>
      </w:pPr>
      <w:r w:rsidRPr="00293E79">
        <w:rPr>
          <w:rFonts w:ascii="Sylfaen" w:eastAsia="Arial" w:hAnsi="Sylfaen" w:cs="Arial"/>
          <w:b/>
          <w:sz w:val="30"/>
          <w:szCs w:val="30"/>
        </w:rPr>
        <w:t>Evaluación de la eficiencia del gasto social en los países EU15 con análisis envolvente de datos y mét</w:t>
      </w:r>
      <w:r w:rsidRPr="0083150C">
        <w:rPr>
          <w:rFonts w:ascii="Sylfaen" w:eastAsia="Arial" w:hAnsi="Sylfaen" w:cs="Arial"/>
          <w:b/>
          <w:sz w:val="30"/>
          <w:szCs w:val="30"/>
        </w:rPr>
        <w:t>odos cluster borrosos</w:t>
      </w:r>
    </w:p>
    <w:p w14:paraId="60EE3994" w14:textId="0684018E" w:rsidR="00A807B1" w:rsidRPr="0083150C" w:rsidRDefault="003345A3" w:rsidP="003345A3">
      <w:pPr>
        <w:spacing w:line="261" w:lineRule="exact"/>
        <w:rPr>
          <w:sz w:val="24"/>
          <w:szCs w:val="24"/>
        </w:rPr>
      </w:pPr>
      <w:r w:rsidRPr="0083150C">
        <w:rPr>
          <w:sz w:val="24"/>
          <w:szCs w:val="24"/>
        </w:rPr>
        <w:tab/>
      </w:r>
    </w:p>
    <w:p w14:paraId="113C66E7" w14:textId="77777777" w:rsidR="00F615DF" w:rsidRPr="0083150C" w:rsidRDefault="00F615DF" w:rsidP="003345A3">
      <w:pPr>
        <w:spacing w:line="261" w:lineRule="exact"/>
        <w:rPr>
          <w:sz w:val="24"/>
          <w:szCs w:val="24"/>
        </w:rPr>
      </w:pPr>
    </w:p>
    <w:p w14:paraId="2E23C11A" w14:textId="7CC84938" w:rsidR="00A807B1" w:rsidRPr="0083150C" w:rsidRDefault="0083150C">
      <w:pPr>
        <w:ind w:right="26"/>
        <w:jc w:val="center"/>
        <w:rPr>
          <w:rFonts w:ascii="Copperplate Gothic Light" w:hAnsi="Copperplate Gothic Light"/>
        </w:rPr>
      </w:pPr>
      <w:r w:rsidRPr="0083150C">
        <w:rPr>
          <w:rFonts w:ascii="Copperplate Gothic Light" w:eastAsia="Arial" w:hAnsi="Copperplate Gothic Light" w:cs="Arial"/>
        </w:rPr>
        <w:t>de Andrés Sánchez, Jorge</w:t>
      </w:r>
    </w:p>
    <w:p w14:paraId="2CB3D039" w14:textId="77777777" w:rsidR="00A807B1" w:rsidRPr="0083150C" w:rsidRDefault="00A807B1">
      <w:pPr>
        <w:spacing w:line="31" w:lineRule="exact"/>
        <w:rPr>
          <w:sz w:val="24"/>
          <w:szCs w:val="24"/>
        </w:rPr>
      </w:pPr>
    </w:p>
    <w:p w14:paraId="780CC828" w14:textId="7B997202" w:rsidR="0083150C" w:rsidRPr="0083150C" w:rsidRDefault="0083150C" w:rsidP="00381624">
      <w:pPr>
        <w:ind w:right="6"/>
        <w:jc w:val="center"/>
        <w:rPr>
          <w:rFonts w:ascii="Sylfaen" w:eastAsia="Arial" w:hAnsi="Sylfaen" w:cs="Arial"/>
          <w:sz w:val="20"/>
          <w:szCs w:val="20"/>
        </w:rPr>
      </w:pPr>
      <w:r w:rsidRPr="0083150C">
        <w:rPr>
          <w:rFonts w:ascii="Sylfaen" w:eastAsia="Arial" w:hAnsi="Sylfaen" w:cs="Arial"/>
          <w:sz w:val="20"/>
          <w:szCs w:val="20"/>
        </w:rPr>
        <w:t>Cátedra de Inclusión Social Social &amp; Business Research Laboratory (SBRlab)</w:t>
      </w:r>
    </w:p>
    <w:p w14:paraId="22F62062" w14:textId="7779D947" w:rsidR="00A807B1" w:rsidRPr="0083150C" w:rsidRDefault="0083150C" w:rsidP="00381624">
      <w:pPr>
        <w:ind w:right="6"/>
        <w:jc w:val="center"/>
        <w:rPr>
          <w:rFonts w:ascii="Sylfaen" w:hAnsi="Sylfaen"/>
          <w:sz w:val="20"/>
          <w:szCs w:val="20"/>
        </w:rPr>
      </w:pPr>
      <w:r w:rsidRPr="0083150C">
        <w:rPr>
          <w:rFonts w:ascii="Sylfaen" w:eastAsia="Arial" w:hAnsi="Sylfaen" w:cs="Arial"/>
          <w:sz w:val="20"/>
          <w:szCs w:val="20"/>
        </w:rPr>
        <w:t xml:space="preserve">Universidad Rovira </w:t>
      </w:r>
      <w:r w:rsidR="006624FA">
        <w:rPr>
          <w:rFonts w:ascii="Sylfaen" w:eastAsia="Arial" w:hAnsi="Sylfaen" w:cs="Arial"/>
          <w:sz w:val="20"/>
          <w:szCs w:val="20"/>
        </w:rPr>
        <w:t>i</w:t>
      </w:r>
      <w:r w:rsidRPr="0083150C">
        <w:rPr>
          <w:rFonts w:ascii="Sylfaen" w:eastAsia="Arial" w:hAnsi="Sylfaen" w:cs="Arial"/>
          <w:sz w:val="20"/>
          <w:szCs w:val="20"/>
        </w:rPr>
        <w:t xml:space="preserve"> Virgili</w:t>
      </w:r>
    </w:p>
    <w:p w14:paraId="574512E3" w14:textId="77777777" w:rsidR="00A807B1" w:rsidRPr="0083150C" w:rsidRDefault="00A807B1">
      <w:pPr>
        <w:spacing w:line="39" w:lineRule="exact"/>
        <w:rPr>
          <w:sz w:val="24"/>
          <w:szCs w:val="24"/>
        </w:rPr>
      </w:pPr>
    </w:p>
    <w:p w14:paraId="0FF26CA7" w14:textId="5BF2AF00" w:rsidR="00A807B1" w:rsidRPr="0083150C" w:rsidRDefault="0039365D">
      <w:pPr>
        <w:tabs>
          <w:tab w:val="left" w:pos="4380"/>
        </w:tabs>
        <w:ind w:left="2200"/>
        <w:rPr>
          <w:rFonts w:ascii="Consolas" w:hAnsi="Consolas" w:cs="Consolas"/>
          <w:sz w:val="20"/>
          <w:szCs w:val="20"/>
        </w:rPr>
      </w:pPr>
      <w:r w:rsidRPr="0083150C">
        <w:rPr>
          <w:rFonts w:ascii="Consolas" w:eastAsia="Arial" w:hAnsi="Consolas" w:cs="Consolas"/>
          <w:sz w:val="20"/>
          <w:szCs w:val="20"/>
        </w:rPr>
        <w:t>Correo electr</w:t>
      </w:r>
      <w:r w:rsidR="00500D9D" w:rsidRPr="0083150C">
        <w:rPr>
          <w:rFonts w:ascii="Consolas" w:eastAsia="Arial" w:hAnsi="Consolas" w:cs="Consolas"/>
          <w:sz w:val="20"/>
          <w:szCs w:val="20"/>
        </w:rPr>
        <w:t>ó</w:t>
      </w:r>
      <w:r w:rsidRPr="0083150C">
        <w:rPr>
          <w:rFonts w:ascii="Consolas" w:eastAsia="Arial" w:hAnsi="Consolas" w:cs="Consolas"/>
          <w:sz w:val="20"/>
          <w:szCs w:val="20"/>
        </w:rPr>
        <w:t>nico:</w:t>
      </w:r>
      <w:r w:rsidRPr="0083150C">
        <w:rPr>
          <w:rFonts w:ascii="Consolas" w:eastAsia="Arial" w:hAnsi="Consolas" w:cs="Consolas"/>
          <w:sz w:val="20"/>
          <w:szCs w:val="20"/>
        </w:rPr>
        <w:tab/>
      </w:r>
      <w:r w:rsidR="0083150C" w:rsidRPr="0083150C">
        <w:rPr>
          <w:rFonts w:ascii="Consolas" w:eastAsia="Arial" w:hAnsi="Consolas" w:cs="Consolas"/>
          <w:sz w:val="20"/>
          <w:szCs w:val="20"/>
        </w:rPr>
        <w:t>jorge.deandres@urv.cat</w:t>
      </w:r>
      <w:r w:rsidR="003345A3" w:rsidRPr="0083150C">
        <w:rPr>
          <w:rFonts w:ascii="Consolas" w:eastAsia="Arial" w:hAnsi="Consolas" w:cs="Consolas"/>
          <w:sz w:val="20"/>
          <w:szCs w:val="20"/>
        </w:rPr>
        <w:t xml:space="preserve"> </w:t>
      </w:r>
    </w:p>
    <w:p w14:paraId="623F0281" w14:textId="77777777" w:rsidR="00A807B1" w:rsidRPr="0083150C" w:rsidRDefault="00A807B1">
      <w:pPr>
        <w:spacing w:line="315" w:lineRule="exact"/>
        <w:rPr>
          <w:sz w:val="24"/>
          <w:szCs w:val="24"/>
          <w:highlight w:val="yellow"/>
        </w:rPr>
      </w:pPr>
    </w:p>
    <w:p w14:paraId="03559568" w14:textId="37CDDD54" w:rsidR="00293E79" w:rsidRPr="0083150C" w:rsidRDefault="0083150C" w:rsidP="00293E79">
      <w:pPr>
        <w:ind w:right="26"/>
        <w:jc w:val="center"/>
        <w:rPr>
          <w:rFonts w:ascii="Copperplate Gothic Light" w:hAnsi="Copperplate Gothic Light"/>
          <w:highlight w:val="yellow"/>
        </w:rPr>
      </w:pPr>
      <w:r w:rsidRPr="0083150C">
        <w:rPr>
          <w:rFonts w:ascii="Copperplate Gothic Light" w:eastAsia="Arial" w:hAnsi="Copperplate Gothic Light" w:cs="Arial"/>
        </w:rPr>
        <w:t>Belzunegui Eraso</w:t>
      </w:r>
      <w:r>
        <w:rPr>
          <w:rFonts w:ascii="Copperplate Gothic Light" w:eastAsia="Arial" w:hAnsi="Copperplate Gothic Light" w:cs="Arial"/>
        </w:rPr>
        <w:t>, Ángel Gabriel</w:t>
      </w:r>
    </w:p>
    <w:p w14:paraId="05515D60" w14:textId="77777777" w:rsidR="00293E79" w:rsidRPr="0083150C" w:rsidRDefault="00293E79" w:rsidP="00293E79">
      <w:pPr>
        <w:spacing w:line="31" w:lineRule="exact"/>
        <w:rPr>
          <w:sz w:val="24"/>
          <w:szCs w:val="24"/>
          <w:highlight w:val="yellow"/>
        </w:rPr>
      </w:pPr>
    </w:p>
    <w:p w14:paraId="042FC0D3" w14:textId="3CCD0FA6" w:rsidR="0083150C" w:rsidRPr="00913E46" w:rsidRDefault="0083150C" w:rsidP="0083150C">
      <w:pPr>
        <w:ind w:right="6"/>
        <w:jc w:val="center"/>
        <w:rPr>
          <w:rFonts w:ascii="Sylfaen" w:eastAsia="Arial" w:hAnsi="Sylfaen" w:cs="Arial"/>
          <w:sz w:val="20"/>
          <w:szCs w:val="20"/>
        </w:rPr>
      </w:pPr>
      <w:r w:rsidRPr="00913E46">
        <w:rPr>
          <w:rFonts w:ascii="Sylfaen" w:eastAsia="Arial" w:hAnsi="Sylfaen" w:cs="Arial"/>
          <w:sz w:val="20"/>
          <w:szCs w:val="20"/>
        </w:rPr>
        <w:t>Cátedra de Inclusión Social Social &amp; Business Research Laboratory (SBRlab)</w:t>
      </w:r>
    </w:p>
    <w:p w14:paraId="18228F81" w14:textId="1615B712" w:rsidR="00293E79" w:rsidRPr="0083150C" w:rsidRDefault="0083150C" w:rsidP="0083150C">
      <w:pPr>
        <w:ind w:right="6"/>
        <w:jc w:val="center"/>
        <w:rPr>
          <w:rFonts w:ascii="Sylfaen" w:hAnsi="Sylfaen"/>
          <w:sz w:val="20"/>
          <w:szCs w:val="20"/>
        </w:rPr>
      </w:pPr>
      <w:r w:rsidRPr="0083150C">
        <w:rPr>
          <w:rFonts w:ascii="Sylfaen" w:eastAsia="Arial" w:hAnsi="Sylfaen" w:cs="Arial"/>
          <w:sz w:val="20"/>
          <w:szCs w:val="20"/>
        </w:rPr>
        <w:t xml:space="preserve">Universidad Rovira </w:t>
      </w:r>
      <w:r w:rsidR="006624FA">
        <w:rPr>
          <w:rFonts w:ascii="Sylfaen" w:eastAsia="Arial" w:hAnsi="Sylfaen" w:cs="Arial"/>
          <w:sz w:val="20"/>
          <w:szCs w:val="20"/>
        </w:rPr>
        <w:t>i</w:t>
      </w:r>
      <w:r w:rsidRPr="0083150C">
        <w:rPr>
          <w:rFonts w:ascii="Sylfaen" w:eastAsia="Arial" w:hAnsi="Sylfaen" w:cs="Arial"/>
          <w:sz w:val="20"/>
          <w:szCs w:val="20"/>
        </w:rPr>
        <w:t xml:space="preserve"> Virgili</w:t>
      </w:r>
      <w:r w:rsidRPr="0083150C">
        <w:t xml:space="preserve"> </w:t>
      </w:r>
    </w:p>
    <w:p w14:paraId="00E7FC04" w14:textId="77777777" w:rsidR="00293E79" w:rsidRPr="0083150C" w:rsidRDefault="00293E79" w:rsidP="00293E79">
      <w:pPr>
        <w:spacing w:line="39" w:lineRule="exact"/>
        <w:rPr>
          <w:sz w:val="24"/>
          <w:szCs w:val="24"/>
        </w:rPr>
      </w:pPr>
    </w:p>
    <w:p w14:paraId="5EBBE91D" w14:textId="63C9FE69" w:rsidR="00293E79" w:rsidRPr="0083150C" w:rsidRDefault="00293E79" w:rsidP="00293E79">
      <w:pPr>
        <w:tabs>
          <w:tab w:val="left" w:pos="4380"/>
        </w:tabs>
        <w:ind w:left="2200"/>
        <w:rPr>
          <w:rFonts w:ascii="Consolas" w:eastAsia="Arial" w:hAnsi="Consolas" w:cs="Consolas"/>
          <w:sz w:val="20"/>
          <w:szCs w:val="20"/>
        </w:rPr>
      </w:pPr>
      <w:r w:rsidRPr="0083150C">
        <w:rPr>
          <w:rFonts w:ascii="Consolas" w:eastAsia="Arial" w:hAnsi="Consolas" w:cs="Consolas"/>
          <w:sz w:val="20"/>
          <w:szCs w:val="20"/>
        </w:rPr>
        <w:t>Correo electrónico:</w:t>
      </w:r>
      <w:r w:rsidRPr="0083150C">
        <w:rPr>
          <w:rFonts w:ascii="Consolas" w:eastAsia="Arial" w:hAnsi="Consolas" w:cs="Consolas"/>
          <w:sz w:val="20"/>
          <w:szCs w:val="20"/>
        </w:rPr>
        <w:tab/>
      </w:r>
      <w:r w:rsidR="0083150C" w:rsidRPr="0083150C">
        <w:rPr>
          <w:rFonts w:ascii="Consolas" w:eastAsia="Arial" w:hAnsi="Consolas" w:cs="Consolas"/>
          <w:sz w:val="20"/>
          <w:szCs w:val="20"/>
        </w:rPr>
        <w:t>angel.belzunegui@urv.cat</w:t>
      </w:r>
      <w:r w:rsidRPr="0083150C">
        <w:rPr>
          <w:rFonts w:ascii="Consolas" w:eastAsia="Arial" w:hAnsi="Consolas" w:cs="Consolas"/>
          <w:sz w:val="20"/>
          <w:szCs w:val="20"/>
        </w:rPr>
        <w:t xml:space="preserve"> </w:t>
      </w:r>
    </w:p>
    <w:p w14:paraId="2EF961E0" w14:textId="77777777" w:rsidR="00293E79" w:rsidRPr="0083150C" w:rsidRDefault="00293E79" w:rsidP="00293E79">
      <w:pPr>
        <w:tabs>
          <w:tab w:val="left" w:pos="4380"/>
        </w:tabs>
        <w:ind w:left="2200"/>
        <w:rPr>
          <w:rFonts w:ascii="Consolas" w:hAnsi="Consolas" w:cs="Consolas"/>
          <w:sz w:val="20"/>
          <w:szCs w:val="20"/>
        </w:rPr>
      </w:pPr>
    </w:p>
    <w:p w14:paraId="0ABC36DC" w14:textId="0103E643" w:rsidR="00293E79" w:rsidRPr="00A86211" w:rsidRDefault="00A86211" w:rsidP="00293E79">
      <w:pPr>
        <w:ind w:right="26"/>
        <w:jc w:val="center"/>
        <w:rPr>
          <w:rFonts w:ascii="Copperplate Gothic Light" w:hAnsi="Copperplate Gothic Light"/>
          <w:highlight w:val="yellow"/>
        </w:rPr>
      </w:pPr>
      <w:r w:rsidRPr="00A86211">
        <w:rPr>
          <w:rFonts w:ascii="Copperplate Gothic Light" w:eastAsia="Arial" w:hAnsi="Copperplate Gothic Light" w:cs="Arial"/>
        </w:rPr>
        <w:t>Valls Fonayet</w:t>
      </w:r>
      <w:r>
        <w:rPr>
          <w:rFonts w:ascii="Copperplate Gothic Light" w:eastAsia="Arial" w:hAnsi="Copperplate Gothic Light" w:cs="Arial"/>
        </w:rPr>
        <w:t>, Francesc</w:t>
      </w:r>
    </w:p>
    <w:p w14:paraId="71913D08" w14:textId="77777777" w:rsidR="00293E79" w:rsidRPr="00A86211" w:rsidRDefault="00293E79" w:rsidP="00293E79">
      <w:pPr>
        <w:spacing w:line="31" w:lineRule="exact"/>
        <w:rPr>
          <w:sz w:val="24"/>
          <w:szCs w:val="24"/>
        </w:rPr>
      </w:pPr>
    </w:p>
    <w:p w14:paraId="2CA42169" w14:textId="13CE6C08" w:rsidR="00A86211" w:rsidRPr="00913E46" w:rsidRDefault="00A86211" w:rsidP="00A86211">
      <w:pPr>
        <w:ind w:right="6"/>
        <w:jc w:val="center"/>
        <w:rPr>
          <w:rFonts w:ascii="Sylfaen" w:eastAsia="Arial" w:hAnsi="Sylfaen" w:cs="Arial"/>
          <w:sz w:val="20"/>
          <w:szCs w:val="20"/>
        </w:rPr>
      </w:pPr>
      <w:r w:rsidRPr="00913E46">
        <w:rPr>
          <w:rFonts w:ascii="Sylfaen" w:eastAsia="Arial" w:hAnsi="Sylfaen" w:cs="Arial"/>
          <w:sz w:val="20"/>
          <w:szCs w:val="20"/>
        </w:rPr>
        <w:t>Cátedra de Inclusión Social Social &amp; Business Research Laboratory (SBRlab)</w:t>
      </w:r>
    </w:p>
    <w:p w14:paraId="71CF3C13" w14:textId="39D0004C" w:rsidR="00293E79" w:rsidRPr="00913E46" w:rsidRDefault="00A86211" w:rsidP="00A86211">
      <w:pPr>
        <w:ind w:right="6"/>
        <w:jc w:val="center"/>
        <w:rPr>
          <w:rFonts w:ascii="Sylfaen" w:hAnsi="Sylfaen"/>
          <w:sz w:val="20"/>
          <w:szCs w:val="20"/>
        </w:rPr>
      </w:pPr>
      <w:r w:rsidRPr="00913E46">
        <w:rPr>
          <w:rFonts w:ascii="Sylfaen" w:eastAsia="Arial" w:hAnsi="Sylfaen" w:cs="Arial"/>
          <w:sz w:val="20"/>
          <w:szCs w:val="20"/>
        </w:rPr>
        <w:t xml:space="preserve">Universidad Rovira </w:t>
      </w:r>
      <w:r w:rsidR="006624FA">
        <w:rPr>
          <w:rFonts w:ascii="Sylfaen" w:eastAsia="Arial" w:hAnsi="Sylfaen" w:cs="Arial"/>
          <w:sz w:val="20"/>
          <w:szCs w:val="20"/>
        </w:rPr>
        <w:t>i</w:t>
      </w:r>
      <w:r w:rsidRPr="00913E46">
        <w:rPr>
          <w:rFonts w:ascii="Sylfaen" w:eastAsia="Arial" w:hAnsi="Sylfaen" w:cs="Arial"/>
          <w:sz w:val="20"/>
          <w:szCs w:val="20"/>
        </w:rPr>
        <w:t xml:space="preserve"> Virgili</w:t>
      </w:r>
    </w:p>
    <w:p w14:paraId="36408915" w14:textId="77777777" w:rsidR="00293E79" w:rsidRPr="00913E46" w:rsidRDefault="00293E79" w:rsidP="00293E79">
      <w:pPr>
        <w:spacing w:line="39" w:lineRule="exact"/>
        <w:rPr>
          <w:sz w:val="24"/>
          <w:szCs w:val="24"/>
        </w:rPr>
      </w:pPr>
    </w:p>
    <w:p w14:paraId="64D7BEEC" w14:textId="02E02A47" w:rsidR="00293E79" w:rsidRPr="00A86211" w:rsidRDefault="00293E79" w:rsidP="00293E79">
      <w:pPr>
        <w:tabs>
          <w:tab w:val="left" w:pos="4380"/>
        </w:tabs>
        <w:ind w:left="2200"/>
        <w:rPr>
          <w:rFonts w:ascii="Consolas" w:hAnsi="Consolas" w:cs="Consolas"/>
          <w:sz w:val="20"/>
          <w:szCs w:val="20"/>
        </w:rPr>
      </w:pPr>
      <w:r w:rsidRPr="00A86211">
        <w:rPr>
          <w:rFonts w:ascii="Consolas" w:eastAsia="Arial" w:hAnsi="Consolas" w:cs="Consolas"/>
          <w:sz w:val="20"/>
          <w:szCs w:val="20"/>
        </w:rPr>
        <w:t>Correo electrónico:</w:t>
      </w:r>
      <w:r w:rsidRPr="00A86211">
        <w:rPr>
          <w:rFonts w:ascii="Consolas" w:eastAsia="Arial" w:hAnsi="Consolas" w:cs="Consolas"/>
          <w:sz w:val="20"/>
          <w:szCs w:val="20"/>
        </w:rPr>
        <w:tab/>
      </w:r>
      <w:r w:rsidR="00A86211" w:rsidRPr="00A86211">
        <w:rPr>
          <w:rFonts w:ascii="Consolas" w:eastAsia="Arial" w:hAnsi="Consolas" w:cs="Consolas"/>
          <w:sz w:val="20"/>
          <w:szCs w:val="20"/>
        </w:rPr>
        <w:t>francesc.valls@urv.cat</w:t>
      </w:r>
    </w:p>
    <w:p w14:paraId="190FE657" w14:textId="77777777" w:rsidR="00A807B1" w:rsidRPr="00A86211" w:rsidRDefault="00A807B1">
      <w:pPr>
        <w:spacing w:line="200" w:lineRule="exact"/>
        <w:rPr>
          <w:sz w:val="24"/>
          <w:szCs w:val="24"/>
          <w:highlight w:val="yellow"/>
        </w:rPr>
      </w:pPr>
    </w:p>
    <w:p w14:paraId="12044730" w14:textId="77777777" w:rsidR="00A807B1" w:rsidRPr="00A86211" w:rsidRDefault="00A807B1">
      <w:pPr>
        <w:spacing w:line="361" w:lineRule="exact"/>
        <w:rPr>
          <w:sz w:val="24"/>
          <w:szCs w:val="24"/>
          <w:highlight w:val="yellow"/>
        </w:rPr>
      </w:pPr>
    </w:p>
    <w:p w14:paraId="492BBD07" w14:textId="72B01B28" w:rsidR="00A807B1" w:rsidRPr="00293E79" w:rsidRDefault="00EE7CAD">
      <w:pPr>
        <w:ind w:right="6"/>
        <w:jc w:val="center"/>
        <w:rPr>
          <w:rFonts w:ascii="Sylfaen" w:hAnsi="Sylfaen"/>
          <w:b/>
          <w:sz w:val="28"/>
          <w:szCs w:val="28"/>
          <w:highlight w:val="yellow"/>
        </w:rPr>
      </w:pPr>
      <w:r w:rsidRPr="00293E79">
        <w:rPr>
          <w:rFonts w:ascii="Sylfaen" w:eastAsia="Arial" w:hAnsi="Sylfaen" w:cs="Arial"/>
          <w:b/>
          <w:sz w:val="28"/>
          <w:szCs w:val="28"/>
        </w:rPr>
        <w:t>RESUMEN</w:t>
      </w:r>
    </w:p>
    <w:p w14:paraId="2DFF7F0D" w14:textId="77777777" w:rsidR="00A807B1" w:rsidRPr="00293E79" w:rsidRDefault="00A807B1">
      <w:pPr>
        <w:spacing w:line="151" w:lineRule="exact"/>
        <w:rPr>
          <w:sz w:val="24"/>
          <w:szCs w:val="24"/>
          <w:highlight w:val="yellow"/>
        </w:rPr>
      </w:pPr>
    </w:p>
    <w:p w14:paraId="3DB9D078" w14:textId="51FAAAF0" w:rsidR="00A807B1" w:rsidRPr="00293E79" w:rsidRDefault="00681458" w:rsidP="00C85853">
      <w:pPr>
        <w:ind w:left="709" w:right="-23"/>
        <w:jc w:val="both"/>
        <w:rPr>
          <w:rFonts w:ascii="Sylfaen" w:eastAsia="Batang" w:hAnsi="Sylfaen" w:cs="Arial"/>
          <w:highlight w:val="yellow"/>
        </w:rPr>
      </w:pPr>
      <w:r w:rsidRPr="00681458">
        <w:rPr>
          <w:rFonts w:ascii="Sylfaen" w:eastAsia="Batang" w:hAnsi="Sylfaen" w:cs="Arial"/>
        </w:rPr>
        <w:t xml:space="preserve">En el estudio de los sistemas de bienestar la relación entre el gasto social y los indicadores de vulnerabilidad como la tasa de pobreza o índices de desigualdad de ingresos tienen gran interés en la literatura. Este trabajo evalúa la productividad del gasto social de los estados de la EU15 (los estados de bienestar más consolidados de la EU28), en el período 2011-2015, con metodología Análisis Envolvente de Datos. Posteriormente, con un método clustering difuso identificamos los patrones existentes de gasto social y su eficiencia. Observamos tres grupos de países. El primero engloba la mayor parte de </w:t>
      </w:r>
      <w:r w:rsidR="00E820C6">
        <w:rPr>
          <w:rFonts w:ascii="Sylfaen" w:eastAsia="Batang" w:hAnsi="Sylfaen" w:cs="Arial"/>
        </w:rPr>
        <w:t>estado del bienestar</w:t>
      </w:r>
      <w:r w:rsidRPr="00681458">
        <w:rPr>
          <w:rFonts w:ascii="Sylfaen" w:eastAsia="Batang" w:hAnsi="Sylfaen" w:cs="Arial"/>
        </w:rPr>
        <w:t xml:space="preserve"> nórdico y continental. El segundo grupo, conformado por Luxemburgo e Irlanda, son países con el menor volumen de gastos social sobre PIB pero a la vez son países eficientes. El tercero engloba a los </w:t>
      </w:r>
      <w:r w:rsidR="00E820C6">
        <w:rPr>
          <w:rFonts w:ascii="Sylfaen" w:eastAsia="Batang" w:hAnsi="Sylfaen" w:cs="Arial"/>
        </w:rPr>
        <w:t>estados del bienestar</w:t>
      </w:r>
      <w:r w:rsidRPr="00681458">
        <w:rPr>
          <w:rFonts w:ascii="Sylfaen" w:eastAsia="Batang" w:hAnsi="Sylfaen" w:cs="Arial"/>
        </w:rPr>
        <w:t xml:space="preserve"> mediterráneos, junto con Gran Bretaña</w:t>
      </w:r>
      <w:r w:rsidR="00B976A2">
        <w:rPr>
          <w:rFonts w:ascii="Sylfaen" w:eastAsia="Batang" w:hAnsi="Sylfaen" w:cs="Arial"/>
        </w:rPr>
        <w:t>, que s</w:t>
      </w:r>
      <w:r w:rsidRPr="00681458">
        <w:rPr>
          <w:rFonts w:ascii="Sylfaen" w:eastAsia="Batang" w:hAnsi="Sylfaen" w:cs="Arial"/>
        </w:rPr>
        <w:t>on los menos eficientes en la reducción de los indicadores de vulnerabilidad.</w:t>
      </w:r>
    </w:p>
    <w:p w14:paraId="1C7F4EA8" w14:textId="77777777" w:rsidR="00A807B1" w:rsidRPr="00293E79" w:rsidRDefault="00A807B1">
      <w:pPr>
        <w:spacing w:line="322" w:lineRule="exact"/>
        <w:rPr>
          <w:sz w:val="24"/>
          <w:szCs w:val="24"/>
          <w:highlight w:val="yellow"/>
        </w:rPr>
      </w:pPr>
    </w:p>
    <w:p w14:paraId="5AF94C4F" w14:textId="42E2A691" w:rsidR="00073600" w:rsidRPr="00681458" w:rsidRDefault="00EE7CAD" w:rsidP="001D3178">
      <w:pPr>
        <w:ind w:left="709" w:right="-22"/>
        <w:jc w:val="both"/>
        <w:rPr>
          <w:rFonts w:ascii="Sylfaen" w:eastAsia="Batang" w:hAnsi="Sylfaen" w:cs="Arial"/>
          <w:sz w:val="20"/>
          <w:szCs w:val="20"/>
          <w:highlight w:val="yellow"/>
        </w:rPr>
      </w:pPr>
      <w:r w:rsidRPr="00681458">
        <w:rPr>
          <w:b/>
          <w:bCs/>
          <w:sz w:val="20"/>
        </w:rPr>
        <w:t>Palabras clave</w:t>
      </w:r>
      <w:r w:rsidR="000B0D11" w:rsidRPr="00681458">
        <w:rPr>
          <w:b/>
          <w:bCs/>
          <w:sz w:val="20"/>
        </w:rPr>
        <w:t>:</w:t>
      </w:r>
      <w:r w:rsidR="0039365D" w:rsidRPr="00681458">
        <w:rPr>
          <w:rFonts w:asciiTheme="minorHAnsi" w:eastAsia="Arial" w:hAnsiTheme="minorHAnsi" w:cs="Arial"/>
          <w:sz w:val="20"/>
          <w:szCs w:val="20"/>
        </w:rPr>
        <w:t xml:space="preserve"> </w:t>
      </w:r>
      <w:r w:rsidR="00681458" w:rsidRPr="00681458">
        <w:rPr>
          <w:rFonts w:ascii="Sylfaen" w:eastAsia="Batang" w:hAnsi="Sylfaen" w:cs="Arial"/>
          <w:sz w:val="20"/>
          <w:szCs w:val="20"/>
        </w:rPr>
        <w:t>desigualdad de rentas</w:t>
      </w:r>
      <w:r w:rsidR="00681458">
        <w:rPr>
          <w:rFonts w:ascii="Sylfaen" w:eastAsia="Batang" w:hAnsi="Sylfaen" w:cs="Arial"/>
          <w:sz w:val="20"/>
          <w:szCs w:val="20"/>
        </w:rPr>
        <w:t>, pobreza,</w:t>
      </w:r>
      <w:r w:rsidR="00681458" w:rsidRPr="00681458">
        <w:rPr>
          <w:rFonts w:ascii="Sylfaen" w:eastAsia="Batang" w:hAnsi="Sylfaen" w:cs="Arial"/>
          <w:sz w:val="20"/>
          <w:szCs w:val="20"/>
        </w:rPr>
        <w:t xml:space="preserve"> frontera eficiente</w:t>
      </w:r>
      <w:r w:rsidR="00681458">
        <w:rPr>
          <w:rFonts w:ascii="Sylfaen" w:eastAsia="Batang" w:hAnsi="Sylfaen" w:cs="Arial"/>
          <w:sz w:val="20"/>
          <w:szCs w:val="20"/>
        </w:rPr>
        <w:t>, análisis envolvente de datos,</w:t>
      </w:r>
      <w:r w:rsidR="00681458" w:rsidRPr="00681458">
        <w:rPr>
          <w:rFonts w:ascii="Sylfaen" w:eastAsia="Batang" w:hAnsi="Sylfaen" w:cs="Arial"/>
          <w:sz w:val="20"/>
          <w:szCs w:val="20"/>
        </w:rPr>
        <w:t xml:space="preserve"> clustering borroso</w:t>
      </w:r>
      <w:r w:rsidR="00681458">
        <w:rPr>
          <w:rFonts w:ascii="Sylfaen" w:eastAsia="Batang" w:hAnsi="Sylfaen" w:cs="Arial"/>
          <w:sz w:val="20"/>
          <w:szCs w:val="20"/>
        </w:rPr>
        <w:t>.</w:t>
      </w:r>
    </w:p>
    <w:p w14:paraId="28F16544" w14:textId="32E56F6D" w:rsidR="00A807B1" w:rsidRPr="00293E79" w:rsidRDefault="00EE7CAD" w:rsidP="001D3178">
      <w:pPr>
        <w:ind w:left="709" w:right="-22"/>
        <w:rPr>
          <w:rFonts w:asciiTheme="minorHAnsi" w:hAnsiTheme="minorHAnsi"/>
          <w:sz w:val="20"/>
          <w:szCs w:val="20"/>
        </w:rPr>
      </w:pPr>
      <w:r w:rsidRPr="00C02DC2">
        <w:rPr>
          <w:rFonts w:eastAsia="Arial"/>
          <w:b/>
          <w:sz w:val="20"/>
          <w:szCs w:val="20"/>
        </w:rPr>
        <w:t>Clasificación JEL:</w:t>
      </w:r>
      <w:r>
        <w:rPr>
          <w:rFonts w:eastAsia="Arial"/>
          <w:b/>
          <w:sz w:val="20"/>
          <w:szCs w:val="20"/>
        </w:rPr>
        <w:t xml:space="preserve"> </w:t>
      </w:r>
      <w:r w:rsidR="00681458">
        <w:rPr>
          <w:rFonts w:ascii="Sylfaen" w:eastAsia="Batang" w:hAnsi="Sylfaen" w:cs="Arial"/>
          <w:sz w:val="20"/>
          <w:szCs w:val="20"/>
        </w:rPr>
        <w:t>C49;</w:t>
      </w:r>
      <w:r w:rsidR="00681458" w:rsidRPr="00681458">
        <w:rPr>
          <w:rFonts w:ascii="Sylfaen" w:eastAsia="Batang" w:hAnsi="Sylfaen" w:cs="Arial"/>
          <w:sz w:val="20"/>
          <w:szCs w:val="20"/>
        </w:rPr>
        <w:t xml:space="preserve"> F02</w:t>
      </w:r>
      <w:r w:rsidR="00681458">
        <w:rPr>
          <w:rFonts w:ascii="Sylfaen" w:eastAsia="Batang" w:hAnsi="Sylfaen" w:cs="Arial"/>
          <w:sz w:val="20"/>
          <w:szCs w:val="20"/>
        </w:rPr>
        <w:t xml:space="preserve">; H50; </w:t>
      </w:r>
      <w:r w:rsidR="00681458" w:rsidRPr="00681458">
        <w:rPr>
          <w:rFonts w:ascii="Sylfaen" w:eastAsia="Batang" w:hAnsi="Sylfaen" w:cs="Arial"/>
          <w:sz w:val="20"/>
          <w:szCs w:val="20"/>
        </w:rPr>
        <w:t>H53</w:t>
      </w:r>
      <w:r w:rsidR="00681458">
        <w:rPr>
          <w:rFonts w:ascii="Sylfaen" w:eastAsia="Batang" w:hAnsi="Sylfaen" w:cs="Arial"/>
          <w:sz w:val="20"/>
          <w:szCs w:val="20"/>
        </w:rPr>
        <w:t>.</w:t>
      </w:r>
    </w:p>
    <w:p w14:paraId="4FC6B120" w14:textId="77777777" w:rsidR="00A807B1" w:rsidRPr="00293E79" w:rsidRDefault="00A807B1" w:rsidP="001D3178">
      <w:pPr>
        <w:spacing w:line="18" w:lineRule="exact"/>
        <w:ind w:left="709" w:right="-22"/>
        <w:rPr>
          <w:rFonts w:asciiTheme="minorHAnsi" w:hAnsiTheme="minorHAnsi"/>
          <w:sz w:val="20"/>
          <w:szCs w:val="20"/>
          <w:highlight w:val="yellow"/>
        </w:rPr>
      </w:pPr>
    </w:p>
    <w:p w14:paraId="1F123D33" w14:textId="06897043" w:rsidR="00A274CF" w:rsidRPr="000B0D11" w:rsidRDefault="0039365D" w:rsidP="00A274CF">
      <w:pPr>
        <w:ind w:left="709" w:right="-22"/>
        <w:rPr>
          <w:rFonts w:ascii="Sylfaen" w:eastAsia="Batang" w:hAnsi="Sylfaen" w:cs="Arial"/>
          <w:sz w:val="20"/>
          <w:szCs w:val="20"/>
          <w:highlight w:val="yellow"/>
        </w:rPr>
      </w:pPr>
      <w:r w:rsidRPr="000B0D11">
        <w:rPr>
          <w:rFonts w:eastAsia="Arial"/>
          <w:b/>
          <w:sz w:val="20"/>
          <w:szCs w:val="20"/>
        </w:rPr>
        <w:t>MSC2010:</w:t>
      </w:r>
      <w:r w:rsidRPr="000B0D11">
        <w:rPr>
          <w:rFonts w:asciiTheme="minorHAnsi" w:eastAsia="Arial" w:hAnsiTheme="minorHAnsi" w:cs="Arial"/>
          <w:sz w:val="20"/>
          <w:szCs w:val="20"/>
        </w:rPr>
        <w:t xml:space="preserve"> </w:t>
      </w:r>
      <w:r w:rsidR="00913E46">
        <w:rPr>
          <w:rFonts w:ascii="Sylfaen" w:eastAsia="Batang" w:hAnsi="Sylfaen" w:cs="Arial"/>
          <w:sz w:val="20"/>
          <w:szCs w:val="20"/>
        </w:rPr>
        <w:t>03E72;</w:t>
      </w:r>
      <w:r w:rsidR="00913E46" w:rsidRPr="00913E46">
        <w:rPr>
          <w:rFonts w:ascii="Sylfaen" w:eastAsia="Batang" w:hAnsi="Sylfaen" w:cs="Arial"/>
          <w:sz w:val="20"/>
          <w:szCs w:val="20"/>
        </w:rPr>
        <w:t xml:space="preserve"> 62A86</w:t>
      </w:r>
      <w:r w:rsidR="00913E46">
        <w:rPr>
          <w:rFonts w:ascii="Sylfaen" w:eastAsia="Batang" w:hAnsi="Sylfaen" w:cs="Arial"/>
          <w:sz w:val="20"/>
          <w:szCs w:val="20"/>
        </w:rPr>
        <w:t>;</w:t>
      </w:r>
      <w:r w:rsidR="00913E46" w:rsidRPr="00913E46">
        <w:rPr>
          <w:rFonts w:ascii="Sylfaen" w:eastAsia="Batang" w:hAnsi="Sylfaen" w:cs="Arial"/>
          <w:sz w:val="20"/>
          <w:szCs w:val="20"/>
        </w:rPr>
        <w:t xml:space="preserve"> 90C08</w:t>
      </w:r>
      <w:r w:rsidR="00913E46">
        <w:rPr>
          <w:rFonts w:ascii="Sylfaen" w:eastAsia="Batang" w:hAnsi="Sylfaen" w:cs="Arial"/>
          <w:sz w:val="20"/>
          <w:szCs w:val="20"/>
        </w:rPr>
        <w:t>.</w:t>
      </w:r>
    </w:p>
    <w:p w14:paraId="19C29FF3" w14:textId="77777777" w:rsidR="00A274CF" w:rsidRPr="000B0D11" w:rsidRDefault="00A274CF" w:rsidP="00A274CF">
      <w:pPr>
        <w:ind w:left="709" w:right="-22"/>
        <w:rPr>
          <w:rFonts w:ascii="Sylfaen" w:eastAsia="Batang" w:hAnsi="Sylfaen" w:cs="Arial"/>
          <w:sz w:val="20"/>
          <w:szCs w:val="20"/>
          <w:highlight w:val="yellow"/>
        </w:rPr>
      </w:pPr>
    </w:p>
    <w:p w14:paraId="1E0834A4" w14:textId="3EE06B0C" w:rsidR="00A807B1" w:rsidRPr="00F615DF" w:rsidRDefault="00006D2C">
      <w:pPr>
        <w:ind w:right="26"/>
        <w:jc w:val="center"/>
        <w:rPr>
          <w:rFonts w:asciiTheme="minorHAnsi" w:hAnsiTheme="minorHAnsi"/>
          <w:sz w:val="14"/>
          <w:szCs w:val="14"/>
        </w:rPr>
      </w:pPr>
      <w:r w:rsidRPr="00380952">
        <w:rPr>
          <w:rFonts w:asciiTheme="minorHAnsi" w:eastAsia="Arial" w:hAnsiTheme="minorHAnsi" w:cs="Arial"/>
          <w:sz w:val="14"/>
          <w:szCs w:val="14"/>
        </w:rPr>
        <w:t>Artí</w:t>
      </w:r>
      <w:r w:rsidR="0039365D" w:rsidRPr="00380952">
        <w:rPr>
          <w:rFonts w:asciiTheme="minorHAnsi" w:eastAsia="Arial" w:hAnsiTheme="minorHAnsi" w:cs="Arial"/>
          <w:sz w:val="14"/>
          <w:szCs w:val="14"/>
        </w:rPr>
        <w:t xml:space="preserve">culo recibido el </w:t>
      </w:r>
      <w:r w:rsidR="00380952" w:rsidRPr="00380952">
        <w:rPr>
          <w:rFonts w:asciiTheme="minorHAnsi" w:eastAsia="Arial" w:hAnsiTheme="minorHAnsi" w:cs="Arial"/>
          <w:sz w:val="14"/>
          <w:szCs w:val="14"/>
        </w:rPr>
        <w:t>7</w:t>
      </w:r>
      <w:r w:rsidR="003345A3" w:rsidRPr="00380952">
        <w:rPr>
          <w:rFonts w:asciiTheme="minorHAnsi" w:eastAsia="Arial" w:hAnsiTheme="minorHAnsi" w:cs="Arial"/>
          <w:sz w:val="14"/>
          <w:szCs w:val="14"/>
        </w:rPr>
        <w:t xml:space="preserve"> de </w:t>
      </w:r>
      <w:r w:rsidR="000B0D11" w:rsidRPr="00380952">
        <w:rPr>
          <w:rFonts w:asciiTheme="minorHAnsi" w:eastAsia="Arial" w:hAnsiTheme="minorHAnsi" w:cs="Arial"/>
          <w:sz w:val="14"/>
          <w:szCs w:val="14"/>
        </w:rPr>
        <w:t>febrero</w:t>
      </w:r>
      <w:r w:rsidR="0039365D" w:rsidRPr="00380952">
        <w:rPr>
          <w:rFonts w:asciiTheme="minorHAnsi" w:eastAsia="Arial" w:hAnsiTheme="minorHAnsi" w:cs="Arial"/>
          <w:sz w:val="14"/>
          <w:szCs w:val="14"/>
        </w:rPr>
        <w:t xml:space="preserve"> de 201</w:t>
      </w:r>
      <w:r w:rsidR="00380952" w:rsidRPr="00380952">
        <w:rPr>
          <w:rFonts w:asciiTheme="minorHAnsi" w:eastAsia="Arial" w:hAnsiTheme="minorHAnsi" w:cs="Arial"/>
          <w:sz w:val="14"/>
          <w:szCs w:val="14"/>
        </w:rPr>
        <w:t>9</w:t>
      </w:r>
      <w:r w:rsidR="0039365D" w:rsidRPr="00380952">
        <w:rPr>
          <w:rFonts w:asciiTheme="minorHAnsi" w:eastAsia="Arial" w:hAnsiTheme="minorHAnsi" w:cs="Arial"/>
          <w:sz w:val="14"/>
          <w:szCs w:val="14"/>
        </w:rPr>
        <w:t xml:space="preserve"> y a</w:t>
      </w:r>
      <w:r w:rsidR="00AD36BA" w:rsidRPr="00380952">
        <w:rPr>
          <w:rFonts w:asciiTheme="minorHAnsi" w:eastAsia="Arial" w:hAnsiTheme="minorHAnsi" w:cs="Arial"/>
          <w:sz w:val="14"/>
          <w:szCs w:val="14"/>
        </w:rPr>
        <w:t>ceptado el</w:t>
      </w:r>
      <w:r w:rsidR="00F615DF" w:rsidRPr="00380952">
        <w:rPr>
          <w:rFonts w:asciiTheme="minorHAnsi" w:eastAsia="Arial" w:hAnsiTheme="minorHAnsi" w:cs="Arial"/>
          <w:sz w:val="14"/>
          <w:szCs w:val="14"/>
        </w:rPr>
        <w:t xml:space="preserve"> </w:t>
      </w:r>
      <w:r w:rsidR="00380952" w:rsidRPr="00380952">
        <w:rPr>
          <w:rFonts w:asciiTheme="minorHAnsi" w:eastAsia="Arial" w:hAnsiTheme="minorHAnsi" w:cs="Arial"/>
          <w:sz w:val="14"/>
          <w:szCs w:val="14"/>
        </w:rPr>
        <w:t>6</w:t>
      </w:r>
      <w:r w:rsidR="0039365D" w:rsidRPr="00380952">
        <w:rPr>
          <w:rFonts w:asciiTheme="minorHAnsi" w:eastAsia="Arial" w:hAnsiTheme="minorHAnsi" w:cs="Arial"/>
          <w:sz w:val="14"/>
          <w:szCs w:val="14"/>
        </w:rPr>
        <w:t xml:space="preserve"> de </w:t>
      </w:r>
      <w:r w:rsidR="00F615DF" w:rsidRPr="00380952">
        <w:rPr>
          <w:rFonts w:asciiTheme="minorHAnsi" w:eastAsia="Arial" w:hAnsiTheme="minorHAnsi" w:cs="Arial"/>
          <w:sz w:val="14"/>
          <w:szCs w:val="14"/>
        </w:rPr>
        <w:t>agosto</w:t>
      </w:r>
      <w:r w:rsidR="0039365D" w:rsidRPr="00380952">
        <w:rPr>
          <w:rFonts w:asciiTheme="minorHAnsi" w:eastAsia="Arial" w:hAnsiTheme="minorHAnsi" w:cs="Arial"/>
          <w:sz w:val="14"/>
          <w:szCs w:val="14"/>
        </w:rPr>
        <w:t xml:space="preserve"> de 20</w:t>
      </w:r>
      <w:r w:rsidR="00AD36BA" w:rsidRPr="00380952">
        <w:rPr>
          <w:rFonts w:asciiTheme="minorHAnsi" w:eastAsia="Arial" w:hAnsiTheme="minorHAnsi" w:cs="Arial"/>
          <w:sz w:val="14"/>
          <w:szCs w:val="14"/>
        </w:rPr>
        <w:t>1</w:t>
      </w:r>
      <w:r w:rsidR="00380952" w:rsidRPr="00380952">
        <w:rPr>
          <w:rFonts w:asciiTheme="minorHAnsi" w:eastAsia="Arial" w:hAnsiTheme="minorHAnsi" w:cs="Arial"/>
          <w:sz w:val="14"/>
          <w:szCs w:val="14"/>
        </w:rPr>
        <w:t>9</w:t>
      </w:r>
      <w:r w:rsidR="0039365D" w:rsidRPr="00380952">
        <w:rPr>
          <w:rFonts w:asciiTheme="minorHAnsi" w:eastAsia="Arial" w:hAnsiTheme="minorHAnsi" w:cs="Arial"/>
          <w:sz w:val="14"/>
          <w:szCs w:val="14"/>
        </w:rPr>
        <w:t>.</w:t>
      </w:r>
    </w:p>
    <w:p w14:paraId="3BD83D1D" w14:textId="77777777" w:rsidR="00A807B1" w:rsidRPr="000577F7" w:rsidRDefault="00A807B1">
      <w:pPr>
        <w:rPr>
          <w:highlight w:val="yellow"/>
        </w:rPr>
        <w:sectPr w:rsidR="00A807B1" w:rsidRPr="000577F7" w:rsidSect="00EC1F40">
          <w:footerReference w:type="default" r:id="rId12"/>
          <w:pgSz w:w="11900" w:h="16838"/>
          <w:pgMar w:top="1440" w:right="2402" w:bottom="1440" w:left="1440" w:header="0" w:footer="420" w:gutter="0"/>
          <w:pgNumType w:start="97"/>
          <w:cols w:space="720" w:equalWidth="0">
            <w:col w:w="8058"/>
          </w:cols>
          <w:docGrid w:linePitch="299"/>
        </w:sectPr>
      </w:pPr>
    </w:p>
    <w:p w14:paraId="71AD4A96" w14:textId="77777777" w:rsidR="00A807B1" w:rsidRPr="00786673" w:rsidRDefault="00A807B1">
      <w:pPr>
        <w:spacing w:line="200" w:lineRule="exact"/>
        <w:rPr>
          <w:sz w:val="24"/>
          <w:szCs w:val="24"/>
        </w:rPr>
      </w:pPr>
    </w:p>
    <w:p w14:paraId="20136085" w14:textId="77777777" w:rsidR="00A807B1" w:rsidRPr="00786673" w:rsidRDefault="00A807B1">
      <w:pPr>
        <w:spacing w:line="200" w:lineRule="exact"/>
        <w:rPr>
          <w:sz w:val="24"/>
          <w:szCs w:val="24"/>
        </w:rPr>
      </w:pPr>
    </w:p>
    <w:p w14:paraId="226A83E4" w14:textId="77777777" w:rsidR="00A807B1" w:rsidRPr="00786673" w:rsidRDefault="00A807B1">
      <w:pPr>
        <w:spacing w:line="245" w:lineRule="exact"/>
        <w:rPr>
          <w:sz w:val="24"/>
          <w:szCs w:val="24"/>
        </w:rPr>
      </w:pPr>
    </w:p>
    <w:p w14:paraId="5A6FE933" w14:textId="0DED2FA4" w:rsidR="00A807B1" w:rsidRDefault="00A807B1">
      <w:pPr>
        <w:rPr>
          <w:highlight w:val="yellow"/>
        </w:rPr>
      </w:pPr>
    </w:p>
    <w:p w14:paraId="5F495050" w14:textId="77777777" w:rsidR="0037449D" w:rsidRPr="004C7AF5" w:rsidRDefault="0037449D">
      <w:pPr>
        <w:rPr>
          <w:highlight w:val="yellow"/>
        </w:rPr>
        <w:sectPr w:rsidR="0037449D" w:rsidRPr="004C7AF5" w:rsidSect="004457C1">
          <w:type w:val="continuous"/>
          <w:pgSz w:w="11900" w:h="16838"/>
          <w:pgMar w:top="1440" w:right="1440" w:bottom="1440" w:left="1440" w:header="0" w:footer="736" w:gutter="0"/>
          <w:cols w:space="720" w:equalWidth="0">
            <w:col w:w="9026"/>
          </w:cols>
        </w:sectPr>
      </w:pPr>
    </w:p>
    <w:p w14:paraId="12522252" w14:textId="77777777" w:rsidR="00A807B1" w:rsidRPr="004C7AF5" w:rsidRDefault="00A807B1">
      <w:pPr>
        <w:spacing w:line="200" w:lineRule="exact"/>
        <w:rPr>
          <w:sz w:val="20"/>
          <w:szCs w:val="20"/>
          <w:highlight w:val="yellow"/>
        </w:rPr>
      </w:pPr>
      <w:bookmarkStart w:id="2" w:name="page2"/>
      <w:bookmarkEnd w:id="2"/>
    </w:p>
    <w:p w14:paraId="73FB60A1" w14:textId="77777777" w:rsidR="00A807B1" w:rsidRPr="004C7AF5" w:rsidRDefault="00A807B1">
      <w:pPr>
        <w:spacing w:line="200" w:lineRule="exact"/>
        <w:rPr>
          <w:sz w:val="20"/>
          <w:szCs w:val="20"/>
          <w:highlight w:val="yellow"/>
        </w:rPr>
      </w:pPr>
    </w:p>
    <w:p w14:paraId="0DB6ED36" w14:textId="77777777" w:rsidR="00A807B1" w:rsidRPr="004C7AF5" w:rsidRDefault="00A807B1">
      <w:pPr>
        <w:spacing w:line="200" w:lineRule="exact"/>
        <w:rPr>
          <w:sz w:val="20"/>
          <w:szCs w:val="20"/>
          <w:highlight w:val="yellow"/>
        </w:rPr>
      </w:pPr>
    </w:p>
    <w:p w14:paraId="3DB6F9AC" w14:textId="77777777" w:rsidR="00A807B1" w:rsidRPr="004C7AF5" w:rsidRDefault="00A807B1">
      <w:pPr>
        <w:spacing w:line="200" w:lineRule="exact"/>
        <w:rPr>
          <w:sz w:val="20"/>
          <w:szCs w:val="20"/>
          <w:highlight w:val="yellow"/>
        </w:rPr>
      </w:pPr>
    </w:p>
    <w:p w14:paraId="2F951925" w14:textId="77777777" w:rsidR="00A807B1" w:rsidRPr="004C7AF5" w:rsidRDefault="00A807B1">
      <w:pPr>
        <w:spacing w:line="253" w:lineRule="exact"/>
        <w:rPr>
          <w:sz w:val="20"/>
          <w:szCs w:val="20"/>
          <w:highlight w:val="yellow"/>
        </w:rPr>
      </w:pPr>
    </w:p>
    <w:p w14:paraId="05F27C3C" w14:textId="65910AEA" w:rsidR="00A807B1" w:rsidRPr="00293E79" w:rsidRDefault="00B976A2" w:rsidP="00EE7CAD">
      <w:pPr>
        <w:ind w:left="1276" w:right="940"/>
        <w:jc w:val="center"/>
        <w:rPr>
          <w:rFonts w:ascii="Sylfaen" w:eastAsia="Arial" w:hAnsi="Sylfaen" w:cs="Arial"/>
          <w:b/>
          <w:sz w:val="30"/>
          <w:szCs w:val="30"/>
          <w:highlight w:val="yellow"/>
          <w:lang w:val="en-GB"/>
        </w:rPr>
      </w:pPr>
      <w:r w:rsidRPr="00B976A2">
        <w:rPr>
          <w:rFonts w:ascii="Sylfaen" w:eastAsia="Arial" w:hAnsi="Sylfaen" w:cs="Arial"/>
          <w:b/>
          <w:sz w:val="30"/>
          <w:szCs w:val="30"/>
          <w:lang w:val="en-GB"/>
        </w:rPr>
        <w:t>Evaluation of the efficiency of social spending in EU15 countries with data envelopment analysis and fuzzy clustering methods</w:t>
      </w:r>
    </w:p>
    <w:p w14:paraId="4294AA77" w14:textId="77777777" w:rsidR="00A807B1" w:rsidRPr="00293E79" w:rsidRDefault="00A807B1">
      <w:pPr>
        <w:spacing w:line="200" w:lineRule="exact"/>
        <w:rPr>
          <w:sz w:val="20"/>
          <w:szCs w:val="20"/>
          <w:highlight w:val="yellow"/>
          <w:lang w:val="en-GB"/>
        </w:rPr>
      </w:pPr>
    </w:p>
    <w:p w14:paraId="628A0447" w14:textId="77777777" w:rsidR="00A807B1" w:rsidRPr="00293E79" w:rsidRDefault="00A807B1">
      <w:pPr>
        <w:spacing w:line="362" w:lineRule="exact"/>
        <w:rPr>
          <w:sz w:val="20"/>
          <w:szCs w:val="20"/>
          <w:highlight w:val="yellow"/>
          <w:lang w:val="en-GB"/>
        </w:rPr>
      </w:pPr>
    </w:p>
    <w:p w14:paraId="63D2FB12" w14:textId="1FF67980" w:rsidR="00A807B1" w:rsidRPr="00293E79" w:rsidRDefault="00EE7CAD" w:rsidP="00EE7CAD">
      <w:pPr>
        <w:ind w:right="26"/>
        <w:jc w:val="center"/>
        <w:rPr>
          <w:rFonts w:ascii="Sylfaen" w:hAnsi="Sylfaen"/>
          <w:b/>
          <w:sz w:val="26"/>
          <w:szCs w:val="26"/>
          <w:lang w:val="en-GB"/>
        </w:rPr>
      </w:pPr>
      <w:r w:rsidRPr="00293E79">
        <w:rPr>
          <w:rFonts w:ascii="Sylfaen" w:hAnsi="Sylfaen"/>
          <w:b/>
          <w:sz w:val="26"/>
          <w:szCs w:val="26"/>
          <w:lang w:val="en-GB"/>
        </w:rPr>
        <w:t>ABSTRACT</w:t>
      </w:r>
    </w:p>
    <w:p w14:paraId="2FF6D53B" w14:textId="77777777" w:rsidR="00A807B1" w:rsidRPr="00293E79" w:rsidRDefault="00A807B1">
      <w:pPr>
        <w:spacing w:line="293" w:lineRule="exact"/>
        <w:rPr>
          <w:rFonts w:asciiTheme="minorHAnsi" w:hAnsiTheme="minorHAnsi"/>
          <w:sz w:val="20"/>
          <w:szCs w:val="20"/>
          <w:highlight w:val="yellow"/>
          <w:lang w:val="en-GB"/>
        </w:rPr>
      </w:pPr>
    </w:p>
    <w:p w14:paraId="2B5EFD4B" w14:textId="3F5CA5D9" w:rsidR="00A807B1" w:rsidRPr="00293E79" w:rsidRDefault="00B976A2" w:rsidP="00EE7CAD">
      <w:pPr>
        <w:tabs>
          <w:tab w:val="left" w:pos="7938"/>
        </w:tabs>
        <w:spacing w:line="269" w:lineRule="auto"/>
        <w:ind w:left="709" w:right="940"/>
        <w:jc w:val="both"/>
        <w:rPr>
          <w:rFonts w:ascii="Sylfaen" w:eastAsia="Batang" w:hAnsi="Sylfaen" w:cs="Arial"/>
          <w:highlight w:val="yellow"/>
          <w:lang w:val="en-GB"/>
        </w:rPr>
      </w:pPr>
      <w:r w:rsidRPr="00B976A2">
        <w:rPr>
          <w:rFonts w:ascii="Sylfaen" w:eastAsia="Batang" w:hAnsi="Sylfaen" w:cs="Arial"/>
          <w:lang w:val="en-GB"/>
        </w:rPr>
        <w:t xml:space="preserve">In the study of welfare </w:t>
      </w:r>
      <w:r w:rsidR="00366266" w:rsidRPr="00B976A2">
        <w:rPr>
          <w:rFonts w:ascii="Sylfaen" w:eastAsia="Batang" w:hAnsi="Sylfaen" w:cs="Arial"/>
          <w:lang w:val="en-GB"/>
        </w:rPr>
        <w:t>systems,</w:t>
      </w:r>
      <w:r w:rsidRPr="00B976A2">
        <w:rPr>
          <w:rFonts w:ascii="Sylfaen" w:eastAsia="Batang" w:hAnsi="Sylfaen" w:cs="Arial"/>
          <w:lang w:val="en-GB"/>
        </w:rPr>
        <w:t xml:space="preserve"> the relation of the social expenditure and the indicators of vulnerability as poverty rates or income inequality indexes focus a great interest in the literature. In this way, we evaluate the productivity of social transfer policies of EU15 states, which are the countries with more consolidated Welfare States within EU28, during the period 2011-2015, with data envelopment analysis. Subsequently, with a fuzzy clustering method we identify the existing patterns of social expenditures and their efficiency. We identify three groups. The first of them embeds most of the Nordic and continental welfare states. The second group is only made up with Luxembourg and Ireland, that are the countries with the lowest social spending but at the same time, they are within the group of efficient countries. The third group is made up of Mediterranean welfare states and United Kingdom</w:t>
      </w:r>
      <w:r w:rsidR="006624FA">
        <w:rPr>
          <w:rFonts w:ascii="Sylfaen" w:eastAsia="Batang" w:hAnsi="Sylfaen" w:cs="Arial"/>
          <w:lang w:val="en-GB"/>
        </w:rPr>
        <w:t xml:space="preserve"> </w:t>
      </w:r>
      <w:r w:rsidR="006624FA" w:rsidRPr="006624FA">
        <w:rPr>
          <w:rFonts w:ascii="Sylfaen" w:eastAsia="Batang" w:hAnsi="Sylfaen" w:cs="Arial"/>
          <w:lang w:val="en-GB"/>
        </w:rPr>
        <w:t>and they are the less efficient countries in reducing vulnerability indexes.</w:t>
      </w:r>
    </w:p>
    <w:p w14:paraId="7627FD4F" w14:textId="77777777" w:rsidR="00A807B1" w:rsidRPr="00293E79" w:rsidRDefault="00A807B1">
      <w:pPr>
        <w:spacing w:line="387" w:lineRule="exact"/>
        <w:rPr>
          <w:rFonts w:asciiTheme="minorHAnsi" w:hAnsiTheme="minorHAnsi"/>
          <w:sz w:val="20"/>
          <w:szCs w:val="20"/>
          <w:highlight w:val="yellow"/>
          <w:lang w:val="en-GB"/>
        </w:rPr>
      </w:pPr>
    </w:p>
    <w:p w14:paraId="772DC272" w14:textId="6710FBB0" w:rsidR="00A807B1" w:rsidRPr="00913E46" w:rsidRDefault="00EE7CAD" w:rsidP="007E416E">
      <w:pPr>
        <w:spacing w:line="231" w:lineRule="auto"/>
        <w:ind w:left="709" w:right="946"/>
        <w:jc w:val="both"/>
        <w:rPr>
          <w:rFonts w:ascii="Sylfaen" w:eastAsia="Batang" w:hAnsi="Sylfaen" w:cs="Arial"/>
          <w:sz w:val="20"/>
          <w:szCs w:val="20"/>
          <w:highlight w:val="yellow"/>
          <w:lang w:val="en-GB"/>
        </w:rPr>
      </w:pPr>
      <w:r w:rsidRPr="00913E46">
        <w:rPr>
          <w:b/>
          <w:bCs/>
          <w:sz w:val="20"/>
          <w:lang w:val="en-GB"/>
        </w:rPr>
        <w:t>Keywords</w:t>
      </w:r>
      <w:r w:rsidR="00F615DF" w:rsidRPr="00913E46">
        <w:rPr>
          <w:rFonts w:eastAsia="Arial"/>
          <w:b/>
          <w:sz w:val="20"/>
          <w:szCs w:val="20"/>
          <w:lang w:val="en-GB"/>
        </w:rPr>
        <w:t>:</w:t>
      </w:r>
      <w:r w:rsidR="0039365D" w:rsidRPr="00913E46">
        <w:rPr>
          <w:rFonts w:asciiTheme="minorHAnsi" w:eastAsia="Arial" w:hAnsiTheme="minorHAnsi" w:cs="Arial"/>
          <w:lang w:val="en-GB"/>
        </w:rPr>
        <w:t xml:space="preserve"> </w:t>
      </w:r>
      <w:r w:rsidR="00913E46" w:rsidRPr="00913E46">
        <w:rPr>
          <w:rFonts w:ascii="Sylfaen" w:eastAsia="Batang" w:hAnsi="Sylfaen" w:cs="Arial"/>
          <w:sz w:val="20"/>
          <w:szCs w:val="20"/>
          <w:lang w:val="en-GB"/>
        </w:rPr>
        <w:t>income inequality</w:t>
      </w:r>
      <w:r w:rsidR="00913E46">
        <w:rPr>
          <w:rFonts w:ascii="Sylfaen" w:eastAsia="Batang" w:hAnsi="Sylfaen" w:cs="Arial"/>
          <w:sz w:val="20"/>
          <w:szCs w:val="20"/>
          <w:lang w:val="en-GB"/>
        </w:rPr>
        <w:t>, poverty risk, efficient frontiers,</w:t>
      </w:r>
      <w:r w:rsidR="00913E46" w:rsidRPr="00913E46">
        <w:rPr>
          <w:rFonts w:ascii="Sylfaen" w:eastAsia="Batang" w:hAnsi="Sylfaen" w:cs="Arial"/>
          <w:sz w:val="20"/>
          <w:szCs w:val="20"/>
          <w:lang w:val="en-GB"/>
        </w:rPr>
        <w:t xml:space="preserve"> data envelopment analysis</w:t>
      </w:r>
      <w:r w:rsidR="00913E46">
        <w:rPr>
          <w:rFonts w:ascii="Sylfaen" w:eastAsia="Batang" w:hAnsi="Sylfaen" w:cs="Arial"/>
          <w:sz w:val="20"/>
          <w:szCs w:val="20"/>
          <w:lang w:val="en-GB"/>
        </w:rPr>
        <w:t>,</w:t>
      </w:r>
      <w:r w:rsidR="00913E46" w:rsidRPr="00913E46">
        <w:rPr>
          <w:rFonts w:ascii="Sylfaen" w:eastAsia="Batang" w:hAnsi="Sylfaen" w:cs="Arial"/>
          <w:sz w:val="20"/>
          <w:szCs w:val="20"/>
          <w:lang w:val="en-GB"/>
        </w:rPr>
        <w:t xml:space="preserve"> fuzzy clustering</w:t>
      </w:r>
      <w:r w:rsidR="00913E46">
        <w:rPr>
          <w:rFonts w:ascii="Sylfaen" w:eastAsia="Batang" w:hAnsi="Sylfaen" w:cs="Arial"/>
          <w:sz w:val="20"/>
          <w:szCs w:val="20"/>
          <w:lang w:val="en-GB"/>
        </w:rPr>
        <w:t>.</w:t>
      </w:r>
    </w:p>
    <w:p w14:paraId="31898E45" w14:textId="77777777" w:rsidR="00A807B1" w:rsidRPr="00913E46" w:rsidRDefault="00A807B1" w:rsidP="007E416E">
      <w:pPr>
        <w:spacing w:line="19" w:lineRule="exact"/>
        <w:ind w:left="709"/>
        <w:rPr>
          <w:rFonts w:asciiTheme="minorHAnsi" w:hAnsiTheme="minorHAnsi"/>
          <w:sz w:val="20"/>
          <w:szCs w:val="20"/>
          <w:highlight w:val="yellow"/>
          <w:lang w:val="en-GB"/>
        </w:rPr>
      </w:pPr>
    </w:p>
    <w:p w14:paraId="0523B47A" w14:textId="3A43BDB9" w:rsidR="00A807B1" w:rsidRPr="00293E79" w:rsidRDefault="00EE7CAD" w:rsidP="007E416E">
      <w:pPr>
        <w:ind w:left="709"/>
        <w:rPr>
          <w:rFonts w:ascii="Sylfaen" w:eastAsia="Batang" w:hAnsi="Sylfaen" w:cs="Arial"/>
          <w:sz w:val="20"/>
          <w:szCs w:val="20"/>
          <w:lang w:val="en-GB"/>
        </w:rPr>
      </w:pPr>
      <w:r w:rsidRPr="000B0D11">
        <w:rPr>
          <w:rFonts w:eastAsia="Arial"/>
          <w:b/>
          <w:sz w:val="20"/>
          <w:szCs w:val="20"/>
          <w:lang w:val="en-GB"/>
        </w:rPr>
        <w:t>JEL classification:</w:t>
      </w:r>
      <w:r w:rsidRPr="000B0D11">
        <w:rPr>
          <w:rFonts w:asciiTheme="minorHAnsi" w:eastAsia="Arial" w:hAnsiTheme="minorHAnsi" w:cs="Arial"/>
          <w:lang w:val="en-GB"/>
        </w:rPr>
        <w:t xml:space="preserve"> </w:t>
      </w:r>
      <w:r w:rsidR="00B976A2" w:rsidRPr="00B976A2">
        <w:rPr>
          <w:rFonts w:ascii="Sylfaen" w:eastAsia="Batang" w:hAnsi="Sylfaen" w:cs="Arial"/>
          <w:sz w:val="20"/>
          <w:szCs w:val="20"/>
          <w:lang w:val="en-GB"/>
        </w:rPr>
        <w:t>C49; F02; H50; H53.</w:t>
      </w:r>
    </w:p>
    <w:p w14:paraId="45CF63C4" w14:textId="77777777" w:rsidR="00A807B1" w:rsidRPr="00293E79" w:rsidRDefault="00A807B1" w:rsidP="007E416E">
      <w:pPr>
        <w:spacing w:line="18" w:lineRule="exact"/>
        <w:ind w:left="709"/>
        <w:rPr>
          <w:rFonts w:asciiTheme="minorHAnsi" w:hAnsiTheme="minorHAnsi"/>
          <w:sz w:val="20"/>
          <w:szCs w:val="20"/>
          <w:highlight w:val="yellow"/>
          <w:lang w:val="en-GB"/>
        </w:rPr>
      </w:pPr>
    </w:p>
    <w:p w14:paraId="6CF92ECD" w14:textId="183780F3" w:rsidR="00A807B1" w:rsidRPr="00293E79" w:rsidRDefault="000B0D11" w:rsidP="00F615DF">
      <w:pPr>
        <w:ind w:left="709"/>
        <w:rPr>
          <w:sz w:val="20"/>
          <w:szCs w:val="20"/>
          <w:highlight w:val="yellow"/>
        </w:rPr>
      </w:pPr>
      <w:r w:rsidRPr="00293E79">
        <w:rPr>
          <w:rFonts w:eastAsia="Batang"/>
          <w:b/>
          <w:sz w:val="20"/>
          <w:szCs w:val="20"/>
        </w:rPr>
        <w:t>MSC2010:</w:t>
      </w:r>
      <w:r w:rsidRPr="00293E79">
        <w:rPr>
          <w:rFonts w:eastAsia="Batang"/>
          <w:sz w:val="20"/>
          <w:szCs w:val="20"/>
        </w:rPr>
        <w:t xml:space="preserve"> </w:t>
      </w:r>
      <w:r w:rsidR="00913E46" w:rsidRPr="00913E46">
        <w:rPr>
          <w:rFonts w:ascii="Sylfaen" w:eastAsia="Batang" w:hAnsi="Sylfaen" w:cs="Arial"/>
          <w:sz w:val="20"/>
          <w:szCs w:val="20"/>
        </w:rPr>
        <w:t>03E72; 62A86; 90C08.</w:t>
      </w:r>
    </w:p>
    <w:p w14:paraId="30027E34" w14:textId="77777777" w:rsidR="00A807B1" w:rsidRPr="00293E79" w:rsidRDefault="00A807B1">
      <w:pPr>
        <w:spacing w:line="200" w:lineRule="exact"/>
        <w:rPr>
          <w:sz w:val="20"/>
          <w:szCs w:val="20"/>
          <w:highlight w:val="yellow"/>
        </w:rPr>
      </w:pPr>
    </w:p>
    <w:p w14:paraId="6AB0688E" w14:textId="77777777" w:rsidR="00A807B1" w:rsidRPr="00293E79" w:rsidRDefault="00A807B1">
      <w:pPr>
        <w:spacing w:line="200" w:lineRule="exact"/>
        <w:rPr>
          <w:sz w:val="20"/>
          <w:szCs w:val="20"/>
          <w:highlight w:val="yellow"/>
        </w:rPr>
      </w:pPr>
    </w:p>
    <w:p w14:paraId="0CA7FD5C" w14:textId="77777777" w:rsidR="00A807B1" w:rsidRPr="00293E79" w:rsidRDefault="00A807B1">
      <w:pPr>
        <w:spacing w:line="200" w:lineRule="exact"/>
        <w:rPr>
          <w:sz w:val="20"/>
          <w:szCs w:val="20"/>
          <w:highlight w:val="yellow"/>
        </w:rPr>
      </w:pPr>
    </w:p>
    <w:p w14:paraId="23AF69DF" w14:textId="77777777" w:rsidR="00A807B1" w:rsidRPr="00293E79" w:rsidRDefault="00A807B1">
      <w:pPr>
        <w:spacing w:line="200" w:lineRule="exact"/>
        <w:rPr>
          <w:sz w:val="20"/>
          <w:szCs w:val="20"/>
          <w:highlight w:val="yellow"/>
        </w:rPr>
      </w:pPr>
    </w:p>
    <w:p w14:paraId="1B7D5360" w14:textId="01938713" w:rsidR="00A807B1" w:rsidRPr="00293E79" w:rsidRDefault="00A807B1">
      <w:pPr>
        <w:spacing w:line="200" w:lineRule="exact"/>
        <w:rPr>
          <w:sz w:val="20"/>
          <w:szCs w:val="20"/>
          <w:highlight w:val="yellow"/>
        </w:rPr>
      </w:pPr>
    </w:p>
    <w:p w14:paraId="31F448AB" w14:textId="77777777" w:rsidR="00A807B1" w:rsidRPr="00293E79" w:rsidRDefault="00A807B1">
      <w:pPr>
        <w:spacing w:line="200" w:lineRule="exact"/>
        <w:rPr>
          <w:sz w:val="20"/>
          <w:szCs w:val="20"/>
          <w:highlight w:val="yellow"/>
        </w:rPr>
      </w:pPr>
    </w:p>
    <w:p w14:paraId="039483D8" w14:textId="77777777" w:rsidR="00A807B1" w:rsidRPr="00293E79" w:rsidRDefault="00A807B1">
      <w:pPr>
        <w:spacing w:line="200" w:lineRule="exact"/>
        <w:rPr>
          <w:sz w:val="20"/>
          <w:szCs w:val="20"/>
          <w:highlight w:val="yellow"/>
        </w:rPr>
      </w:pPr>
    </w:p>
    <w:p w14:paraId="7392A006" w14:textId="39688EA3" w:rsidR="00A807B1" w:rsidRPr="00293E79" w:rsidRDefault="00A807B1">
      <w:pPr>
        <w:spacing w:line="200" w:lineRule="exact"/>
        <w:rPr>
          <w:sz w:val="20"/>
          <w:szCs w:val="20"/>
          <w:highlight w:val="yellow"/>
        </w:rPr>
      </w:pPr>
    </w:p>
    <w:p w14:paraId="5B120CF9" w14:textId="779A51C2" w:rsidR="00A807B1" w:rsidRPr="00293E79" w:rsidRDefault="00A807B1">
      <w:pPr>
        <w:spacing w:line="200" w:lineRule="exact"/>
        <w:rPr>
          <w:sz w:val="20"/>
          <w:szCs w:val="20"/>
          <w:highlight w:val="yellow"/>
        </w:rPr>
      </w:pPr>
    </w:p>
    <w:p w14:paraId="5E88A3F7" w14:textId="134A2604" w:rsidR="00A807B1" w:rsidRPr="00293E79" w:rsidRDefault="00A807B1">
      <w:pPr>
        <w:spacing w:line="200" w:lineRule="exact"/>
        <w:rPr>
          <w:sz w:val="20"/>
          <w:szCs w:val="20"/>
          <w:highlight w:val="yellow"/>
        </w:rPr>
      </w:pPr>
    </w:p>
    <w:p w14:paraId="3B073012" w14:textId="5F894AC9" w:rsidR="00A807B1" w:rsidRPr="00293E79" w:rsidRDefault="00A807B1">
      <w:pPr>
        <w:spacing w:line="200" w:lineRule="exact"/>
        <w:rPr>
          <w:sz w:val="20"/>
          <w:szCs w:val="20"/>
          <w:highlight w:val="yellow"/>
        </w:rPr>
      </w:pPr>
    </w:p>
    <w:p w14:paraId="3F83D21C" w14:textId="77777777" w:rsidR="00F615DF" w:rsidRPr="00293E79" w:rsidRDefault="00F615DF">
      <w:pPr>
        <w:ind w:right="26"/>
        <w:jc w:val="center"/>
        <w:rPr>
          <w:rFonts w:eastAsia="Arial"/>
          <w:sz w:val="21"/>
          <w:szCs w:val="21"/>
          <w:highlight w:val="yellow"/>
        </w:rPr>
      </w:pPr>
    </w:p>
    <w:p w14:paraId="5776786A" w14:textId="7CAA807F" w:rsidR="00F615DF" w:rsidRDefault="00F615DF">
      <w:pPr>
        <w:ind w:right="26"/>
        <w:jc w:val="center"/>
        <w:rPr>
          <w:rFonts w:eastAsia="Arial"/>
          <w:sz w:val="21"/>
          <w:szCs w:val="21"/>
          <w:highlight w:val="yellow"/>
        </w:rPr>
      </w:pPr>
    </w:p>
    <w:p w14:paraId="34108A70" w14:textId="4BF8F411" w:rsidR="00E820C6" w:rsidRDefault="00E820C6">
      <w:pPr>
        <w:ind w:right="26"/>
        <w:jc w:val="center"/>
        <w:rPr>
          <w:rFonts w:eastAsia="Arial"/>
          <w:sz w:val="21"/>
          <w:szCs w:val="21"/>
          <w:highlight w:val="yellow"/>
        </w:rPr>
      </w:pPr>
    </w:p>
    <w:p w14:paraId="28B81F25" w14:textId="77777777" w:rsidR="00E820C6" w:rsidRPr="00293E79" w:rsidRDefault="00E820C6">
      <w:pPr>
        <w:ind w:right="26"/>
        <w:jc w:val="center"/>
        <w:rPr>
          <w:rFonts w:eastAsia="Arial"/>
          <w:sz w:val="21"/>
          <w:szCs w:val="21"/>
          <w:highlight w:val="yellow"/>
        </w:rPr>
      </w:pPr>
    </w:p>
    <w:p w14:paraId="3A90804E" w14:textId="3F205C01" w:rsidR="004457C1" w:rsidRPr="00293E79" w:rsidRDefault="007E07E0">
      <w:pPr>
        <w:ind w:right="26"/>
        <w:jc w:val="center"/>
        <w:rPr>
          <w:rFonts w:eastAsia="Arial"/>
          <w:sz w:val="21"/>
          <w:szCs w:val="21"/>
          <w:highlight w:val="yellow"/>
        </w:rPr>
      </w:pPr>
      <w:r w:rsidRPr="000577F7">
        <w:rPr>
          <w:noProof/>
          <w:sz w:val="20"/>
          <w:szCs w:val="20"/>
          <w:highlight w:val="yellow"/>
        </w:rPr>
        <w:drawing>
          <wp:anchor distT="0" distB="0" distL="114300" distR="114300" simplePos="0" relativeHeight="251658240" behindDoc="1" locked="0" layoutInCell="0" allowOverlap="1" wp14:anchorId="6EAA3270" wp14:editId="6A6A9C01">
            <wp:simplePos x="0" y="0"/>
            <wp:positionH relativeFrom="column">
              <wp:posOffset>591185</wp:posOffset>
            </wp:positionH>
            <wp:positionV relativeFrom="paragraph">
              <wp:posOffset>67310</wp:posOffset>
            </wp:positionV>
            <wp:extent cx="4536440" cy="420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blip>
                    <a:srcRect/>
                    <a:stretch>
                      <a:fillRect/>
                    </a:stretch>
                  </pic:blipFill>
                  <pic:spPr bwMode="auto">
                    <a:xfrm>
                      <a:off x="0" y="0"/>
                      <a:ext cx="4536440" cy="420370"/>
                    </a:xfrm>
                    <a:prstGeom prst="rect">
                      <a:avLst/>
                    </a:prstGeom>
                    <a:noFill/>
                  </pic:spPr>
                </pic:pic>
              </a:graphicData>
            </a:graphic>
          </wp:anchor>
        </w:drawing>
      </w:r>
    </w:p>
    <w:p w14:paraId="3E889363" w14:textId="576EF826" w:rsidR="004457C1" w:rsidRPr="00293E79" w:rsidRDefault="004457C1">
      <w:pPr>
        <w:ind w:right="26"/>
        <w:jc w:val="center"/>
        <w:rPr>
          <w:rFonts w:eastAsia="Arial"/>
          <w:sz w:val="21"/>
          <w:szCs w:val="21"/>
          <w:highlight w:val="yellow"/>
        </w:rPr>
      </w:pPr>
    </w:p>
    <w:p w14:paraId="2941C22B" w14:textId="77777777" w:rsidR="004457C1" w:rsidRPr="00293E79" w:rsidRDefault="004457C1">
      <w:pPr>
        <w:ind w:right="26"/>
        <w:jc w:val="center"/>
        <w:rPr>
          <w:rFonts w:eastAsia="Arial"/>
          <w:sz w:val="21"/>
          <w:szCs w:val="21"/>
          <w:highlight w:val="yellow"/>
        </w:rPr>
      </w:pPr>
    </w:p>
    <w:p w14:paraId="792FFECD" w14:textId="77777777" w:rsidR="004457C1" w:rsidRPr="00293E79" w:rsidRDefault="004457C1">
      <w:pPr>
        <w:ind w:right="26"/>
        <w:jc w:val="center"/>
        <w:rPr>
          <w:rFonts w:eastAsia="Arial"/>
          <w:sz w:val="21"/>
          <w:szCs w:val="21"/>
          <w:highlight w:val="yellow"/>
        </w:rPr>
      </w:pPr>
    </w:p>
    <w:p w14:paraId="1F8BF7E9" w14:textId="409C0B05" w:rsidR="0037449D" w:rsidRPr="00293E79" w:rsidRDefault="0037449D" w:rsidP="0037449D">
      <w:pPr>
        <w:keepNext/>
        <w:keepLines/>
        <w:snapToGrid w:val="0"/>
        <w:outlineLvl w:val="0"/>
        <w:rPr>
          <w:rFonts w:eastAsia="Times New Roman"/>
          <w:b/>
          <w:bCs/>
          <w:color w:val="000000"/>
          <w:sz w:val="24"/>
          <w:szCs w:val="26"/>
          <w:lang w:eastAsia="en-US"/>
        </w:rPr>
      </w:pPr>
      <w:r w:rsidRPr="00293E79">
        <w:rPr>
          <w:rFonts w:eastAsia="Times New Roman"/>
          <w:b/>
          <w:bCs/>
          <w:color w:val="000000"/>
          <w:sz w:val="24"/>
          <w:szCs w:val="26"/>
          <w:lang w:eastAsia="en-US"/>
        </w:rPr>
        <w:t>1. Introduc</w:t>
      </w:r>
      <w:r w:rsidR="00EE7CAD" w:rsidRPr="00293E79">
        <w:rPr>
          <w:rFonts w:eastAsia="Times New Roman"/>
          <w:b/>
          <w:bCs/>
          <w:color w:val="000000"/>
          <w:sz w:val="24"/>
          <w:szCs w:val="26"/>
          <w:lang w:eastAsia="en-US"/>
        </w:rPr>
        <w:t>ción</w:t>
      </w:r>
      <w:r w:rsidRPr="00293E79">
        <w:rPr>
          <w:rFonts w:eastAsia="Times New Roman"/>
          <w:b/>
          <w:bCs/>
          <w:color w:val="000000"/>
          <w:sz w:val="24"/>
          <w:szCs w:val="26"/>
          <w:lang w:eastAsia="en-US"/>
        </w:rPr>
        <w:t>.</w:t>
      </w:r>
      <w:r w:rsidR="0012661B">
        <w:rPr>
          <w:rFonts w:eastAsia="Times New Roman"/>
          <w:b/>
          <w:bCs/>
          <w:color w:val="000000"/>
          <w:sz w:val="24"/>
          <w:szCs w:val="26"/>
          <w:lang w:eastAsia="en-US"/>
        </w:rPr>
        <w:t xml:space="preserve"> </w:t>
      </w:r>
    </w:p>
    <w:p w14:paraId="57B26136" w14:textId="77777777" w:rsidR="0037449D" w:rsidRPr="00293E79" w:rsidRDefault="0037449D" w:rsidP="004959DF">
      <w:pPr>
        <w:spacing w:after="240"/>
        <w:jc w:val="both"/>
        <w:rPr>
          <w:rFonts w:eastAsia="Cambria"/>
          <w:sz w:val="24"/>
          <w:szCs w:val="24"/>
          <w:lang w:eastAsia="en-US"/>
        </w:rPr>
      </w:pPr>
    </w:p>
    <w:p w14:paraId="2D1867C9" w14:textId="77777777" w:rsidR="00380952" w:rsidRPr="00380952" w:rsidRDefault="00380952" w:rsidP="00380952">
      <w:pPr>
        <w:spacing w:after="240"/>
        <w:jc w:val="both"/>
        <w:rPr>
          <w:szCs w:val="24"/>
        </w:rPr>
      </w:pPr>
      <w:r w:rsidRPr="00380952">
        <w:rPr>
          <w:szCs w:val="24"/>
        </w:rPr>
        <w:t xml:space="preserve">Un aspecto de interés en el análisis de sistemas de bienestar es la relación entre el volumen del gasto social (GS) y los indicadores de vulnerabilidad, como el riesgo de pobreza y el índice de desigualdad de rentas (índice Gini). Es necesario constatar la existencia de diferentes orientaciones en las políticas sociales según los países, dependiendo de las problemáticas sociales concretas, de las políticas sociales preexistentes, los sistemas de regulación del empleo y, más genéricamente, del estado del bienestar (EB). La Tabla 1 muestra que los países con mayor volumen de gasto social en relación al PIB son aquellos que presentan menor riesgo de pobreza después de prestaciones sociales. Son abundantes los estudios empíricos que han puesto de manifiesto la fuerte relación negativa entre el </w:t>
      </w:r>
      <w:r w:rsidRPr="00380952">
        <w:rPr>
          <w:i/>
          <w:szCs w:val="24"/>
        </w:rPr>
        <w:t>GS</w:t>
      </w:r>
      <w:r w:rsidRPr="00380952">
        <w:rPr>
          <w:szCs w:val="24"/>
        </w:rPr>
        <w:t xml:space="preserve"> y la pobreza y la desigualdad de ingresos, como por ejemplo en Cantillon et al. (1997), Bradbury y Jäntti (2001), Atkinson (2000), Beblo y Knaus (2001), Oxley et al. (2001).</w:t>
      </w:r>
    </w:p>
    <w:p w14:paraId="1C526463" w14:textId="0C1B136C" w:rsidR="00380952" w:rsidRPr="00380952" w:rsidRDefault="00380952" w:rsidP="00380952">
      <w:pPr>
        <w:spacing w:after="240"/>
        <w:ind w:firstLine="567"/>
        <w:jc w:val="both"/>
        <w:rPr>
          <w:szCs w:val="24"/>
        </w:rPr>
      </w:pPr>
      <w:r w:rsidRPr="00380952">
        <w:rPr>
          <w:szCs w:val="24"/>
        </w:rPr>
        <w:t>Cantillon, Marx y Van den Bosch (2002) ponen de manifiesto que a pesar de la existencia de una fuerte correlación negativa entre gasto social y tasas de pobreza para diferentes países europeos, no se puede derivar un camino directo consistente en aumentar el gasto social para reducir la pobreza. Los autores realizan una simulación a partir de los datos del Luxembourg Income Study y sugieren que invertir más dinero en sistemas de transferencia social tendría resultados desiguales en la disminución del riesgo de pobreza en función del país. Si el gasto social fuera el único camino para reducir la pobreza, las recomendaciones políticas serían simples: aumentar el gasto (y/o mejorar su focalización en los países en los que ya es grande). La expansión del gasto no siempre tendría un fuerte efecto en la rebaja de las tasas de pobreza. La convergencia de los gastos sociales no produciría automáticamente una convergencia de las tasas de pobreza y este fenómeno sería más evidente en el caso de países como España e Italia, según la simulación realizada. Los autores sugieren que para el caso de España e Italia, las transferencias sociales aumentadas podrían ir a parar en forma de ingresos a las capas sociales intermedias y no pobres. Además, una distribución muy desigual de los salarios o un gran volumen de salarios precarios podrían hacer más difícil la redistribución de rentas. El efecto marginal de más gasto difiere considerablemente de un país a otro y no siempre es lineal.</w:t>
      </w:r>
    </w:p>
    <w:p w14:paraId="1FE1DFB1" w14:textId="77777777" w:rsidR="00380952" w:rsidRPr="00380952" w:rsidRDefault="00380952" w:rsidP="00380952">
      <w:pPr>
        <w:spacing w:after="240"/>
        <w:ind w:firstLine="567"/>
        <w:jc w:val="both"/>
        <w:rPr>
          <w:szCs w:val="24"/>
        </w:rPr>
      </w:pPr>
      <w:r w:rsidRPr="00380952">
        <w:rPr>
          <w:szCs w:val="24"/>
        </w:rPr>
        <w:t xml:space="preserve">Vandenbroucke y Vleminckx (2011) advierten que factores como la </w:t>
      </w:r>
      <w:r w:rsidRPr="00380952">
        <w:rPr>
          <w:i/>
          <w:szCs w:val="24"/>
        </w:rPr>
        <w:t>re-commodification</w:t>
      </w:r>
      <w:r w:rsidRPr="00380952">
        <w:rPr>
          <w:szCs w:val="24"/>
        </w:rPr>
        <w:t xml:space="preserve"> o la </w:t>
      </w:r>
      <w:r w:rsidRPr="00380952">
        <w:rPr>
          <w:i/>
          <w:szCs w:val="24"/>
        </w:rPr>
        <w:t>resource competition</w:t>
      </w:r>
      <w:r w:rsidRPr="00380952">
        <w:rPr>
          <w:szCs w:val="24"/>
        </w:rPr>
        <w:t xml:space="preserve"> en los nuevos Estados de bienestar, pueden cuestionar la relación existente entre gasto social y la lucha contra la pobreza, en la medida en que forman parte de la nueva configuración de las sociedades postindustriales y del papel que debe jugar el estado, las empresas y las entidades sociales como proveedores de bienestar. De manera similar, Cantillon (2011) cuestiona la estrategia de Lisboa argumentando que las transferencias monetarias dirigidas a personas sin trabajo no han tenido los efectos esperados y que las políticas redistributivas tampoco han sido suficientemente eficaces para paliar la pobreza. Varios estudios han manifestado el alcance limitado de las políticas de asistencia social, como Cincinnato y Nicaise (2009) para el caso de Bélgica, Bogdanov y Zahariev (2009), para Bulgaria, Anker et al. (2009) en Dinamarca, Ruoppila y Lamminmäki (2009) en Finlandia, Legros (2009) en Francia, Radu (2009) en Rumanía, Nelson (2003) en Suecia, Finn et al. (2008) en el Reino Unido.</w:t>
      </w:r>
    </w:p>
    <w:p w14:paraId="374F45D8" w14:textId="6133DEC6" w:rsidR="00380952" w:rsidRPr="00380952" w:rsidRDefault="00380952" w:rsidP="00380952">
      <w:pPr>
        <w:spacing w:after="240"/>
        <w:ind w:firstLine="567"/>
        <w:jc w:val="both"/>
        <w:rPr>
          <w:szCs w:val="24"/>
        </w:rPr>
      </w:pPr>
      <w:r w:rsidRPr="00380952">
        <w:rPr>
          <w:szCs w:val="24"/>
        </w:rPr>
        <w:t xml:space="preserve">Las consideraciones anteriores motivan el objetivo del presente trabajo, que evalúa la eficiencia del </w:t>
      </w:r>
      <w:r w:rsidR="00DF2421" w:rsidRPr="00380952">
        <w:rPr>
          <w:szCs w:val="24"/>
        </w:rPr>
        <w:t>gasto social</w:t>
      </w:r>
      <w:r w:rsidRPr="00380952">
        <w:rPr>
          <w:szCs w:val="24"/>
        </w:rPr>
        <w:t xml:space="preserve"> de los Estados que forman parte de la Unión Europea desde antes del 2000 (EU15) en la reducción de pobreza y la desigualdad de rentas durante el periodo 2011-2015. Tal como indican Afonso et al. (2010), existe una amplia literatura sobre eficiencia de políticas de gasto público, pero sobre todo en sanidad y enseñanza. Podemos remarcar Gupta y Verhoeven (2001), Clements (2002), Afonso y St Aubyn (2004, 2006), Herrera y Pang (2005), Agasisti y Johnes (2010) o Kapsoli y Teodoru (2017). Sin embargo, en nuestro caso buscamos determinar hasta qué punto los resultados alcanzados en reducción de la pobreza y desigualdad, que serán los outputs evaluados, se corresponde con el gasto social medido en relación al PIB y la situación inicial de la situación de vulnerabilidad analizada antes de gasto (inputs). Así, nuestro trabajo iría en la línea del trabajo de Afonso et al. (2010), elaborado para los países del ámbito de la OCDE y con datos del año 2000.</w:t>
      </w:r>
    </w:p>
    <w:p w14:paraId="77374050" w14:textId="22F2FEED" w:rsidR="00380952" w:rsidRPr="00380952" w:rsidRDefault="00380952" w:rsidP="00380952">
      <w:pPr>
        <w:spacing w:after="240"/>
        <w:ind w:firstLine="567"/>
        <w:jc w:val="both"/>
        <w:rPr>
          <w:szCs w:val="24"/>
          <w:shd w:val="clear" w:color="auto" w:fill="FFFFFF"/>
        </w:rPr>
      </w:pPr>
      <w:r w:rsidRPr="00380952">
        <w:rPr>
          <w:szCs w:val="24"/>
          <w:shd w:val="clear" w:color="auto" w:fill="FFFFFF"/>
        </w:rPr>
        <w:lastRenderedPageBreak/>
        <w:t>En la EU15 se diferencian las siguientes tipologías de estado del bienestar: el modelo nórdico, (Dinamarca, Finlandia, Suecia y los Países Bajos)</w:t>
      </w:r>
      <w:r w:rsidR="005B7244">
        <w:rPr>
          <w:szCs w:val="24"/>
          <w:shd w:val="clear" w:color="auto" w:fill="FFFFFF"/>
        </w:rPr>
        <w:t>, el modelo continental</w:t>
      </w:r>
      <w:r w:rsidRPr="00380952">
        <w:rPr>
          <w:szCs w:val="24"/>
          <w:shd w:val="clear" w:color="auto" w:fill="FFFFFF"/>
        </w:rPr>
        <w:t xml:space="preserve"> (Austria, Bélgica, Francia, Alemania y Luxemburgo), el modelo anglosajón (Irlanda y el Reino Unido) y el modelo mediterráneo (Grecia, Italia, Portugal y España). Con el objetivo de validar si la clasificación de los EB realmente se acomoda a la evidencia empírica referente al esfuerzo en gasto social y su efectividad en la disminución de los índices de vulnerabilidad realizamos un análisis clúster. En este análisis utilizaremos un enfoq</w:t>
      </w:r>
      <w:r w:rsidR="005B7244">
        <w:rPr>
          <w:szCs w:val="24"/>
          <w:shd w:val="clear" w:color="auto" w:fill="FFFFFF"/>
        </w:rPr>
        <w:t xml:space="preserve">ue de fuzzy clustering (Bezdek, </w:t>
      </w:r>
      <w:r w:rsidRPr="00380952">
        <w:rPr>
          <w:szCs w:val="24"/>
          <w:shd w:val="clear" w:color="auto" w:fill="FFFFFF"/>
        </w:rPr>
        <w:t xml:space="preserve">1981) en lugar de las metodologías de clustering más convencionales. Cuando usamos un algoritmo cluster k-means convencional todos los elementos analizados obligatoriamente se clasifican exclusivamente en un clúster. No obstante, en los fenómenos sociales la pertenencia exclusiva a una determinada tipología es normalmente irreal y simplificadora. Así, citando a Kandel (1982) la principal relación entre la teoría de los subconjuntos borrosos y los problemas de reconocimiento de patrones y clasificación recae en que en los problemas reales la mayor parte de categorías son difusas por naturaleza. Con fuzzy clustering podremos captar la posible ambigüedad de algunos estados al intentarlos clasificar en una única </w:t>
      </w:r>
      <w:r w:rsidR="006624FA" w:rsidRPr="00380952">
        <w:rPr>
          <w:szCs w:val="24"/>
          <w:shd w:val="clear" w:color="auto" w:fill="FFFFFF"/>
        </w:rPr>
        <w:t>tipología,</w:t>
      </w:r>
      <w:r w:rsidRPr="00380952">
        <w:rPr>
          <w:szCs w:val="24"/>
          <w:shd w:val="clear" w:color="auto" w:fill="FFFFFF"/>
        </w:rPr>
        <w:t xml:space="preserve"> pero también reflejará la pertenencia inequívoca de otros a un grupo concreto.</w:t>
      </w:r>
    </w:p>
    <w:p w14:paraId="1DAB3CE5" w14:textId="77777777" w:rsidR="00380952" w:rsidRPr="00380952" w:rsidRDefault="00380952" w:rsidP="00380952">
      <w:pPr>
        <w:spacing w:after="240"/>
        <w:ind w:firstLine="567"/>
        <w:jc w:val="both"/>
        <w:rPr>
          <w:b/>
          <w:szCs w:val="24"/>
        </w:rPr>
      </w:pPr>
      <w:r w:rsidRPr="00380952">
        <w:rPr>
          <w:szCs w:val="24"/>
        </w:rPr>
        <w:t>El trabajo se ha estructurado de la siguiente manera: después de la introducción, se presentan los datos empleados en el análisis y se realiza un primer análisis descriptivo de sus relaciones. Posteriormente, la metodología utilizada para calcular la productividad del gasto social y la aplicación a los países EU15. A continuación, se realiza un análisis clúster que lleva a detectar las principales tipologías en el binomio gasto social/productividad en la reducción de los índices de vulnerabilidad. Finalmente, se presentan las principales conclusiones que se extraen del análisis.</w:t>
      </w:r>
    </w:p>
    <w:p w14:paraId="19DB4720" w14:textId="77777777" w:rsidR="00380952" w:rsidRPr="00380952" w:rsidRDefault="00380952" w:rsidP="00380952">
      <w:pPr>
        <w:spacing w:after="240"/>
        <w:jc w:val="both"/>
        <w:rPr>
          <w:rFonts w:eastAsia="Cambria"/>
          <w:szCs w:val="24"/>
          <w:lang w:eastAsia="en-US"/>
        </w:rPr>
      </w:pPr>
    </w:p>
    <w:p w14:paraId="5E43C12E" w14:textId="1CB89308" w:rsidR="00380952" w:rsidRDefault="00380952" w:rsidP="00380952">
      <w:pPr>
        <w:spacing w:line="360" w:lineRule="auto"/>
        <w:jc w:val="both"/>
        <w:rPr>
          <w:b/>
          <w:sz w:val="24"/>
          <w:szCs w:val="24"/>
        </w:rPr>
      </w:pPr>
      <w:r w:rsidRPr="003C3293">
        <w:rPr>
          <w:b/>
          <w:sz w:val="24"/>
          <w:szCs w:val="24"/>
        </w:rPr>
        <w:t xml:space="preserve">2. </w:t>
      </w:r>
      <w:r w:rsidR="00C63E8D" w:rsidRPr="003C3293">
        <w:rPr>
          <w:b/>
          <w:sz w:val="24"/>
          <w:szCs w:val="24"/>
        </w:rPr>
        <w:t>Base de datos y análisis descriptivo de las relaciones entre gasto social e indicadores de vulnerabilidad</w:t>
      </w:r>
      <w:r w:rsidR="00C63E8D">
        <w:rPr>
          <w:b/>
          <w:sz w:val="24"/>
          <w:szCs w:val="24"/>
        </w:rPr>
        <w:t>.</w:t>
      </w:r>
    </w:p>
    <w:p w14:paraId="6856F061" w14:textId="77777777" w:rsidR="00380952" w:rsidRPr="003C3293" w:rsidRDefault="00380952" w:rsidP="00C63E8D">
      <w:pPr>
        <w:spacing w:after="240"/>
        <w:jc w:val="both"/>
        <w:rPr>
          <w:b/>
          <w:sz w:val="24"/>
          <w:szCs w:val="24"/>
        </w:rPr>
      </w:pPr>
    </w:p>
    <w:p w14:paraId="6A509DF1" w14:textId="0B1E8E8A" w:rsidR="00380952" w:rsidRDefault="00380952" w:rsidP="00C63E8D">
      <w:pPr>
        <w:spacing w:after="240"/>
        <w:jc w:val="both"/>
        <w:rPr>
          <w:szCs w:val="24"/>
        </w:rPr>
      </w:pPr>
      <w:r w:rsidRPr="00C63E8D">
        <w:rPr>
          <w:szCs w:val="24"/>
        </w:rPr>
        <w:t>El análisis se basa en datos de Eurostat relativos al periodo 2011 a 2015 (Tabla 1). El riesgo de pobreza antes de ejecutarse prestaciones sociales</w:t>
      </w:r>
      <w:r w:rsidR="005B7244">
        <w:rPr>
          <w:szCs w:val="24"/>
        </w:rPr>
        <w:t xml:space="preserve"> (</w:t>
      </w:r>
      <w:r w:rsidR="005B7244">
        <w:t>a efectos de aligerar la lectura, se asimilan los conceptos de transferencias sociales y prestaciones sociales</w:t>
      </w:r>
      <w:r w:rsidR="005B7244">
        <w:rPr>
          <w:szCs w:val="24"/>
        </w:rPr>
        <w:t>)</w:t>
      </w:r>
      <w:r w:rsidRPr="00C63E8D">
        <w:rPr>
          <w:szCs w:val="24"/>
        </w:rPr>
        <w:t xml:space="preserve"> y el índice de Gini antes de realizarse estas prestaciones presentan correlación positiva y significativa (</w:t>
      </w:r>
      <w:r w:rsidRPr="00C63E8D">
        <w:rPr>
          <w:i/>
          <w:szCs w:val="24"/>
        </w:rPr>
        <w:t>r</w:t>
      </w:r>
      <w:r w:rsidRPr="00C63E8D">
        <w:rPr>
          <w:i/>
          <w:szCs w:val="24"/>
          <w:vertAlign w:val="subscript"/>
        </w:rPr>
        <w:t>x,y</w:t>
      </w:r>
      <w:r w:rsidRPr="00C63E8D">
        <w:rPr>
          <w:szCs w:val="24"/>
        </w:rPr>
        <w:t xml:space="preserve"> =</w:t>
      </w:r>
      <w:r w:rsidRPr="00C63E8D">
        <w:rPr>
          <w:i/>
          <w:szCs w:val="24"/>
        </w:rPr>
        <w:t xml:space="preserve"> </w:t>
      </w:r>
      <w:r w:rsidRPr="00C63E8D">
        <w:rPr>
          <w:szCs w:val="24"/>
        </w:rPr>
        <w:t>0,617). En lo que respecta al índice de Gini y el riesgo de pobreza después de prestaciones, la correlación es significativa y alta (</w:t>
      </w:r>
      <w:r w:rsidRPr="00C63E8D">
        <w:rPr>
          <w:i/>
          <w:szCs w:val="24"/>
        </w:rPr>
        <w:t>r</w:t>
      </w:r>
      <w:r w:rsidRPr="00C63E8D">
        <w:rPr>
          <w:i/>
          <w:szCs w:val="24"/>
          <w:vertAlign w:val="subscript"/>
        </w:rPr>
        <w:t>x,y</w:t>
      </w:r>
      <w:r w:rsidRPr="00C63E8D">
        <w:rPr>
          <w:szCs w:val="24"/>
        </w:rPr>
        <w:t xml:space="preserve"> =</w:t>
      </w:r>
      <w:r w:rsidRPr="00C63E8D">
        <w:rPr>
          <w:i/>
          <w:szCs w:val="24"/>
        </w:rPr>
        <w:t xml:space="preserve"> </w:t>
      </w:r>
      <w:r w:rsidRPr="00C63E8D">
        <w:rPr>
          <w:szCs w:val="24"/>
        </w:rPr>
        <w:t>0,883) (Tabla 2). El riesgo de pobreza antes de prestaciones (</w:t>
      </w:r>
      <w:r w:rsidRPr="00C63E8D">
        <w:rPr>
          <w:i/>
          <w:szCs w:val="24"/>
        </w:rPr>
        <w:t>RPa</w:t>
      </w:r>
      <w:r w:rsidRPr="00C63E8D">
        <w:rPr>
          <w:szCs w:val="24"/>
        </w:rPr>
        <w:t>) y su valor después (</w:t>
      </w:r>
      <w:r w:rsidRPr="00C63E8D">
        <w:rPr>
          <w:i/>
          <w:szCs w:val="24"/>
        </w:rPr>
        <w:t>RPp</w:t>
      </w:r>
      <w:r w:rsidRPr="00C63E8D">
        <w:rPr>
          <w:szCs w:val="24"/>
        </w:rPr>
        <w:t>) están altamente correlacionados (</w:t>
      </w:r>
      <w:r w:rsidRPr="00C63E8D">
        <w:rPr>
          <w:i/>
          <w:szCs w:val="24"/>
        </w:rPr>
        <w:t>r</w:t>
      </w:r>
      <w:r w:rsidRPr="00C63E8D">
        <w:rPr>
          <w:i/>
          <w:szCs w:val="24"/>
          <w:vertAlign w:val="subscript"/>
        </w:rPr>
        <w:t>x,y</w:t>
      </w:r>
      <w:r w:rsidRPr="00C63E8D">
        <w:rPr>
          <w:szCs w:val="24"/>
        </w:rPr>
        <w:t xml:space="preserve"> =</w:t>
      </w:r>
      <w:r w:rsidRPr="00C63E8D">
        <w:rPr>
          <w:i/>
          <w:szCs w:val="24"/>
        </w:rPr>
        <w:t xml:space="preserve"> </w:t>
      </w:r>
      <w:r w:rsidRPr="00C63E8D">
        <w:rPr>
          <w:szCs w:val="24"/>
        </w:rPr>
        <w:t>0,831). Una correlación positiva, pero no tan alta, también la observamos entre el índice de Gini antes de prestaciones (</w:t>
      </w:r>
      <w:r w:rsidRPr="00C63E8D">
        <w:rPr>
          <w:i/>
          <w:szCs w:val="24"/>
        </w:rPr>
        <w:t>IGa</w:t>
      </w:r>
      <w:r w:rsidRPr="00C63E8D">
        <w:rPr>
          <w:szCs w:val="24"/>
        </w:rPr>
        <w:t>) y después de estas (</w:t>
      </w:r>
      <w:r w:rsidRPr="00C63E8D">
        <w:rPr>
          <w:i/>
          <w:szCs w:val="24"/>
        </w:rPr>
        <w:t>IGp</w:t>
      </w:r>
      <w:r w:rsidRPr="00C63E8D">
        <w:rPr>
          <w:szCs w:val="24"/>
        </w:rPr>
        <w:t>) (</w:t>
      </w:r>
      <w:r w:rsidRPr="00C63E8D">
        <w:rPr>
          <w:i/>
          <w:szCs w:val="24"/>
        </w:rPr>
        <w:t>r</w:t>
      </w:r>
      <w:r w:rsidRPr="00C63E8D">
        <w:rPr>
          <w:i/>
          <w:szCs w:val="24"/>
          <w:vertAlign w:val="subscript"/>
        </w:rPr>
        <w:t>x,y</w:t>
      </w:r>
      <w:r w:rsidRPr="00C63E8D">
        <w:rPr>
          <w:szCs w:val="24"/>
        </w:rPr>
        <w:t xml:space="preserve"> =</w:t>
      </w:r>
      <w:r w:rsidRPr="00C63E8D">
        <w:rPr>
          <w:i/>
          <w:szCs w:val="24"/>
        </w:rPr>
        <w:t xml:space="preserve"> </w:t>
      </w:r>
      <w:r w:rsidRPr="00C63E8D">
        <w:rPr>
          <w:szCs w:val="24"/>
        </w:rPr>
        <w:t xml:space="preserve">0,563). Tal como podíamos esperar, la correlación entre el nivel de </w:t>
      </w:r>
      <w:r w:rsidRPr="00C63E8D">
        <w:rPr>
          <w:i/>
          <w:szCs w:val="24"/>
        </w:rPr>
        <w:t>GS</w:t>
      </w:r>
      <w:r w:rsidRPr="00C63E8D">
        <w:rPr>
          <w:szCs w:val="24"/>
        </w:rPr>
        <w:t xml:space="preserve"> y </w:t>
      </w:r>
      <w:r w:rsidRPr="00C63E8D">
        <w:rPr>
          <w:i/>
          <w:szCs w:val="24"/>
        </w:rPr>
        <w:t>RPp</w:t>
      </w:r>
      <w:r w:rsidRPr="00C63E8D">
        <w:rPr>
          <w:szCs w:val="24"/>
        </w:rPr>
        <w:t xml:space="preserve"> e </w:t>
      </w:r>
      <w:r w:rsidRPr="00C63E8D">
        <w:rPr>
          <w:i/>
          <w:szCs w:val="24"/>
        </w:rPr>
        <w:t>IGp</w:t>
      </w:r>
      <w:r w:rsidRPr="00C63E8D">
        <w:rPr>
          <w:szCs w:val="24"/>
        </w:rPr>
        <w:t xml:space="preserve"> es negativa y significativa, al menos, con un nivel del 10%: en ambos casos la correlación se sitúa en -0,527 y -0,466. </w:t>
      </w:r>
    </w:p>
    <w:p w14:paraId="742A64FC" w14:textId="77777777" w:rsidR="00C63E8D" w:rsidRPr="00C63E8D" w:rsidRDefault="00C63E8D" w:rsidP="00C63E8D">
      <w:pPr>
        <w:spacing w:after="240"/>
        <w:jc w:val="both"/>
        <w:rPr>
          <w:sz w:val="18"/>
          <w:szCs w:val="20"/>
        </w:rPr>
      </w:pPr>
    </w:p>
    <w:p w14:paraId="49932FEF" w14:textId="1F288127" w:rsidR="00C63E8D" w:rsidRPr="00C63E8D" w:rsidRDefault="00C63E8D" w:rsidP="00C63E8D">
      <w:pPr>
        <w:spacing w:after="240"/>
        <w:jc w:val="center"/>
        <w:rPr>
          <w:b/>
          <w:sz w:val="20"/>
          <w:szCs w:val="20"/>
        </w:rPr>
      </w:pPr>
      <w:r w:rsidRPr="00C63E8D">
        <w:rPr>
          <w:b/>
          <w:sz w:val="20"/>
          <w:szCs w:val="20"/>
        </w:rPr>
        <w:t>Tabla 1. Datos de partida para la evaluación de la eficiencia del gasto social en relación a la reducción de la pobreza en los países de la UE (15) referentes al periodo 2011-2015.</w:t>
      </w:r>
    </w:p>
    <w:tbl>
      <w:tblPr>
        <w:tblW w:w="5000" w:type="pct"/>
        <w:tblCellMar>
          <w:left w:w="70" w:type="dxa"/>
          <w:right w:w="70" w:type="dxa"/>
        </w:tblCellMar>
        <w:tblLook w:val="04A0" w:firstRow="1" w:lastRow="0" w:firstColumn="1" w:lastColumn="0" w:noHBand="0" w:noVBand="1"/>
      </w:tblPr>
      <w:tblGrid>
        <w:gridCol w:w="1537"/>
        <w:gridCol w:w="1485"/>
        <w:gridCol w:w="1501"/>
        <w:gridCol w:w="1501"/>
        <w:gridCol w:w="1501"/>
        <w:gridCol w:w="1485"/>
      </w:tblGrid>
      <w:tr w:rsidR="00C63E8D" w:rsidRPr="00C63E8D" w14:paraId="0D325900" w14:textId="77777777" w:rsidTr="005F1A1A">
        <w:trPr>
          <w:trHeight w:val="300"/>
        </w:trPr>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2B38D" w14:textId="77777777" w:rsidR="00C63E8D" w:rsidRPr="00C63E8D" w:rsidRDefault="00C63E8D" w:rsidP="00C63E8D">
            <w:pPr>
              <w:spacing w:after="240"/>
              <w:rPr>
                <w:rFonts w:eastAsia="Times New Roman"/>
                <w:b/>
                <w:color w:val="000000"/>
                <w:sz w:val="20"/>
                <w:szCs w:val="20"/>
              </w:rPr>
            </w:pPr>
            <w:r w:rsidRPr="00C63E8D">
              <w:rPr>
                <w:rFonts w:eastAsia="Times New Roman"/>
                <w:b/>
                <w:color w:val="000000"/>
                <w:sz w:val="20"/>
                <w:szCs w:val="20"/>
              </w:rPr>
              <w:t> </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32CEE5E4" w14:textId="77777777" w:rsidR="00C63E8D" w:rsidRPr="00C63E8D" w:rsidRDefault="00C63E8D" w:rsidP="00C63E8D">
            <w:pPr>
              <w:spacing w:after="240"/>
              <w:jc w:val="center"/>
              <w:rPr>
                <w:rFonts w:eastAsia="Times New Roman"/>
                <w:b/>
                <w:i/>
                <w:iCs/>
                <w:color w:val="000000"/>
                <w:sz w:val="20"/>
                <w:szCs w:val="20"/>
              </w:rPr>
            </w:pPr>
            <w:r w:rsidRPr="00C63E8D">
              <w:rPr>
                <w:rFonts w:eastAsia="Times New Roman"/>
                <w:b/>
                <w:i/>
                <w:iCs/>
                <w:color w:val="000000"/>
                <w:sz w:val="20"/>
                <w:szCs w:val="20"/>
              </w:rPr>
              <w:t>GS</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4656221C" w14:textId="77777777" w:rsidR="00C63E8D" w:rsidRPr="00C63E8D" w:rsidRDefault="00C63E8D" w:rsidP="00C63E8D">
            <w:pPr>
              <w:spacing w:after="240"/>
              <w:jc w:val="center"/>
              <w:rPr>
                <w:rFonts w:eastAsia="Times New Roman"/>
                <w:b/>
                <w:i/>
                <w:iCs/>
                <w:color w:val="000000"/>
                <w:sz w:val="20"/>
                <w:szCs w:val="20"/>
              </w:rPr>
            </w:pPr>
            <w:r w:rsidRPr="00C63E8D">
              <w:rPr>
                <w:rFonts w:eastAsia="Times New Roman"/>
                <w:b/>
                <w:i/>
                <w:iCs/>
                <w:color w:val="000000"/>
                <w:sz w:val="20"/>
                <w:szCs w:val="20"/>
              </w:rPr>
              <w:t>RPa</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7167748B" w14:textId="77777777" w:rsidR="00C63E8D" w:rsidRPr="00C63E8D" w:rsidRDefault="00C63E8D" w:rsidP="00C63E8D">
            <w:pPr>
              <w:spacing w:after="240"/>
              <w:jc w:val="center"/>
              <w:rPr>
                <w:rFonts w:eastAsia="Times New Roman"/>
                <w:b/>
                <w:i/>
                <w:iCs/>
                <w:color w:val="000000"/>
                <w:sz w:val="20"/>
                <w:szCs w:val="20"/>
              </w:rPr>
            </w:pPr>
            <w:r w:rsidRPr="00C63E8D">
              <w:rPr>
                <w:rFonts w:eastAsia="Times New Roman"/>
                <w:b/>
                <w:i/>
                <w:iCs/>
                <w:color w:val="000000"/>
                <w:sz w:val="20"/>
                <w:szCs w:val="20"/>
              </w:rPr>
              <w:t>RPp</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8EEF9AD" w14:textId="77777777" w:rsidR="00C63E8D" w:rsidRPr="00C63E8D" w:rsidRDefault="00C63E8D" w:rsidP="00C63E8D">
            <w:pPr>
              <w:spacing w:after="240"/>
              <w:jc w:val="center"/>
              <w:rPr>
                <w:rFonts w:eastAsia="Times New Roman"/>
                <w:b/>
                <w:i/>
                <w:iCs/>
                <w:color w:val="000000"/>
                <w:sz w:val="20"/>
                <w:szCs w:val="20"/>
              </w:rPr>
            </w:pPr>
            <w:r w:rsidRPr="00C63E8D">
              <w:rPr>
                <w:rFonts w:eastAsia="Times New Roman"/>
                <w:b/>
                <w:i/>
                <w:iCs/>
                <w:color w:val="000000"/>
                <w:sz w:val="20"/>
                <w:szCs w:val="20"/>
              </w:rPr>
              <w:t>IGa</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2ED1B04" w14:textId="77777777" w:rsidR="00C63E8D" w:rsidRPr="00C63E8D" w:rsidRDefault="00C63E8D" w:rsidP="00C63E8D">
            <w:pPr>
              <w:spacing w:after="240"/>
              <w:jc w:val="center"/>
              <w:rPr>
                <w:rFonts w:eastAsia="Times New Roman"/>
                <w:b/>
                <w:i/>
                <w:iCs/>
                <w:color w:val="000000"/>
                <w:sz w:val="20"/>
                <w:szCs w:val="20"/>
              </w:rPr>
            </w:pPr>
            <w:r w:rsidRPr="00C63E8D">
              <w:rPr>
                <w:rFonts w:eastAsia="Times New Roman"/>
                <w:b/>
                <w:i/>
                <w:iCs/>
                <w:color w:val="000000"/>
                <w:sz w:val="20"/>
                <w:szCs w:val="20"/>
              </w:rPr>
              <w:t>IGp</w:t>
            </w:r>
          </w:p>
        </w:tc>
      </w:tr>
      <w:tr w:rsidR="00C63E8D" w:rsidRPr="00C63E8D" w14:paraId="67BECE70"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5F8D01E1"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Francia</w:t>
            </w:r>
          </w:p>
        </w:tc>
        <w:tc>
          <w:tcPr>
            <w:tcW w:w="824" w:type="pct"/>
            <w:tcBorders>
              <w:top w:val="nil"/>
              <w:left w:val="nil"/>
              <w:bottom w:val="single" w:sz="4" w:space="0" w:color="auto"/>
              <w:right w:val="single" w:sz="4" w:space="0" w:color="auto"/>
            </w:tcBorders>
            <w:shd w:val="clear" w:color="auto" w:fill="auto"/>
            <w:vAlign w:val="center"/>
            <w:hideMark/>
          </w:tcPr>
          <w:p w14:paraId="3F8E0D60"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33,64</w:t>
            </w:r>
          </w:p>
        </w:tc>
        <w:tc>
          <w:tcPr>
            <w:tcW w:w="833" w:type="pct"/>
            <w:tcBorders>
              <w:top w:val="nil"/>
              <w:left w:val="nil"/>
              <w:bottom w:val="single" w:sz="4" w:space="0" w:color="auto"/>
              <w:right w:val="single" w:sz="4" w:space="0" w:color="auto"/>
            </w:tcBorders>
            <w:shd w:val="clear" w:color="auto" w:fill="auto"/>
            <w:noWrap/>
            <w:vAlign w:val="center"/>
            <w:hideMark/>
          </w:tcPr>
          <w:p w14:paraId="47A3E04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44,34</w:t>
            </w:r>
          </w:p>
        </w:tc>
        <w:tc>
          <w:tcPr>
            <w:tcW w:w="833" w:type="pct"/>
            <w:tcBorders>
              <w:top w:val="nil"/>
              <w:left w:val="nil"/>
              <w:bottom w:val="single" w:sz="4" w:space="0" w:color="auto"/>
              <w:right w:val="single" w:sz="4" w:space="0" w:color="auto"/>
            </w:tcBorders>
            <w:shd w:val="clear" w:color="auto" w:fill="auto"/>
            <w:noWrap/>
            <w:vAlign w:val="center"/>
            <w:hideMark/>
          </w:tcPr>
          <w:p w14:paraId="74E0242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13,66</w:t>
            </w:r>
          </w:p>
        </w:tc>
        <w:tc>
          <w:tcPr>
            <w:tcW w:w="833" w:type="pct"/>
            <w:tcBorders>
              <w:top w:val="nil"/>
              <w:left w:val="nil"/>
              <w:bottom w:val="single" w:sz="4" w:space="0" w:color="auto"/>
              <w:right w:val="single" w:sz="4" w:space="0" w:color="auto"/>
            </w:tcBorders>
            <w:shd w:val="clear" w:color="auto" w:fill="auto"/>
            <w:noWrap/>
            <w:vAlign w:val="center"/>
            <w:hideMark/>
          </w:tcPr>
          <w:p w14:paraId="55D747D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50,1</w:t>
            </w:r>
          </w:p>
        </w:tc>
        <w:tc>
          <w:tcPr>
            <w:tcW w:w="824" w:type="pct"/>
            <w:tcBorders>
              <w:top w:val="nil"/>
              <w:left w:val="nil"/>
              <w:bottom w:val="single" w:sz="4" w:space="0" w:color="auto"/>
              <w:right w:val="single" w:sz="4" w:space="0" w:color="auto"/>
            </w:tcBorders>
            <w:shd w:val="clear" w:color="auto" w:fill="auto"/>
            <w:vAlign w:val="center"/>
            <w:hideMark/>
          </w:tcPr>
          <w:p w14:paraId="3EEB6642"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29,66</w:t>
            </w:r>
          </w:p>
        </w:tc>
      </w:tr>
      <w:tr w:rsidR="00C63E8D" w:rsidRPr="00C63E8D" w14:paraId="6223E8BA"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1E027E13"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Dinamarca</w:t>
            </w:r>
          </w:p>
        </w:tc>
        <w:tc>
          <w:tcPr>
            <w:tcW w:w="824" w:type="pct"/>
            <w:tcBorders>
              <w:top w:val="nil"/>
              <w:left w:val="nil"/>
              <w:bottom w:val="single" w:sz="4" w:space="0" w:color="auto"/>
              <w:right w:val="single" w:sz="4" w:space="0" w:color="auto"/>
            </w:tcBorders>
            <w:shd w:val="clear" w:color="auto" w:fill="auto"/>
            <w:vAlign w:val="center"/>
            <w:hideMark/>
          </w:tcPr>
          <w:p w14:paraId="60AB5B25"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32,34</w:t>
            </w:r>
          </w:p>
        </w:tc>
        <w:tc>
          <w:tcPr>
            <w:tcW w:w="833" w:type="pct"/>
            <w:tcBorders>
              <w:top w:val="nil"/>
              <w:left w:val="nil"/>
              <w:bottom w:val="single" w:sz="4" w:space="0" w:color="auto"/>
              <w:right w:val="single" w:sz="4" w:space="0" w:color="auto"/>
            </w:tcBorders>
            <w:shd w:val="clear" w:color="auto" w:fill="auto"/>
            <w:noWrap/>
            <w:vAlign w:val="center"/>
            <w:hideMark/>
          </w:tcPr>
          <w:p w14:paraId="28D475C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40,84</w:t>
            </w:r>
          </w:p>
        </w:tc>
        <w:tc>
          <w:tcPr>
            <w:tcW w:w="833" w:type="pct"/>
            <w:tcBorders>
              <w:top w:val="nil"/>
              <w:left w:val="nil"/>
              <w:bottom w:val="single" w:sz="4" w:space="0" w:color="auto"/>
              <w:right w:val="single" w:sz="4" w:space="0" w:color="auto"/>
            </w:tcBorders>
            <w:shd w:val="clear" w:color="auto" w:fill="auto"/>
            <w:noWrap/>
            <w:vAlign w:val="center"/>
            <w:hideMark/>
          </w:tcPr>
          <w:p w14:paraId="79B73D3D"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12,02</w:t>
            </w:r>
          </w:p>
        </w:tc>
        <w:tc>
          <w:tcPr>
            <w:tcW w:w="833" w:type="pct"/>
            <w:tcBorders>
              <w:top w:val="nil"/>
              <w:left w:val="nil"/>
              <w:bottom w:val="single" w:sz="4" w:space="0" w:color="auto"/>
              <w:right w:val="single" w:sz="4" w:space="0" w:color="auto"/>
            </w:tcBorders>
            <w:shd w:val="clear" w:color="auto" w:fill="auto"/>
            <w:noWrap/>
            <w:vAlign w:val="center"/>
            <w:hideMark/>
          </w:tcPr>
          <w:p w14:paraId="05B5473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51,62</w:t>
            </w:r>
          </w:p>
        </w:tc>
        <w:tc>
          <w:tcPr>
            <w:tcW w:w="824" w:type="pct"/>
            <w:tcBorders>
              <w:top w:val="nil"/>
              <w:left w:val="nil"/>
              <w:bottom w:val="single" w:sz="4" w:space="0" w:color="auto"/>
              <w:right w:val="single" w:sz="4" w:space="0" w:color="auto"/>
            </w:tcBorders>
            <w:shd w:val="clear" w:color="auto" w:fill="auto"/>
            <w:vAlign w:val="center"/>
            <w:hideMark/>
          </w:tcPr>
          <w:p w14:paraId="167A052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27,22</w:t>
            </w:r>
          </w:p>
        </w:tc>
      </w:tr>
      <w:tr w:rsidR="00C63E8D" w:rsidRPr="00C63E8D" w14:paraId="4748B9E6"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16A41FAF"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Finlandia</w:t>
            </w:r>
          </w:p>
        </w:tc>
        <w:tc>
          <w:tcPr>
            <w:tcW w:w="824" w:type="pct"/>
            <w:tcBorders>
              <w:top w:val="nil"/>
              <w:left w:val="nil"/>
              <w:bottom w:val="single" w:sz="4" w:space="0" w:color="auto"/>
              <w:right w:val="single" w:sz="4" w:space="0" w:color="auto"/>
            </w:tcBorders>
            <w:shd w:val="clear" w:color="auto" w:fill="auto"/>
            <w:vAlign w:val="center"/>
            <w:hideMark/>
          </w:tcPr>
          <w:p w14:paraId="31603692"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30,72</w:t>
            </w:r>
          </w:p>
        </w:tc>
        <w:tc>
          <w:tcPr>
            <w:tcW w:w="833" w:type="pct"/>
            <w:tcBorders>
              <w:top w:val="nil"/>
              <w:left w:val="nil"/>
              <w:bottom w:val="single" w:sz="4" w:space="0" w:color="auto"/>
              <w:right w:val="single" w:sz="4" w:space="0" w:color="auto"/>
            </w:tcBorders>
            <w:shd w:val="clear" w:color="auto" w:fill="auto"/>
            <w:noWrap/>
            <w:vAlign w:val="center"/>
            <w:hideMark/>
          </w:tcPr>
          <w:p w14:paraId="531A492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42,68</w:t>
            </w:r>
          </w:p>
        </w:tc>
        <w:tc>
          <w:tcPr>
            <w:tcW w:w="833" w:type="pct"/>
            <w:tcBorders>
              <w:top w:val="nil"/>
              <w:left w:val="nil"/>
              <w:bottom w:val="single" w:sz="4" w:space="0" w:color="auto"/>
              <w:right w:val="single" w:sz="4" w:space="0" w:color="auto"/>
            </w:tcBorders>
            <w:shd w:val="clear" w:color="auto" w:fill="auto"/>
            <w:noWrap/>
            <w:vAlign w:val="center"/>
            <w:hideMark/>
          </w:tcPr>
          <w:p w14:paraId="3274DC92"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12,36</w:t>
            </w:r>
          </w:p>
        </w:tc>
        <w:tc>
          <w:tcPr>
            <w:tcW w:w="833" w:type="pct"/>
            <w:tcBorders>
              <w:top w:val="nil"/>
              <w:left w:val="nil"/>
              <w:bottom w:val="single" w:sz="4" w:space="0" w:color="auto"/>
              <w:right w:val="single" w:sz="4" w:space="0" w:color="auto"/>
            </w:tcBorders>
            <w:shd w:val="clear" w:color="auto" w:fill="auto"/>
            <w:noWrap/>
            <w:vAlign w:val="center"/>
            <w:hideMark/>
          </w:tcPr>
          <w:p w14:paraId="483E957F"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47,24</w:t>
            </w:r>
          </w:p>
        </w:tc>
        <w:tc>
          <w:tcPr>
            <w:tcW w:w="824" w:type="pct"/>
            <w:tcBorders>
              <w:top w:val="nil"/>
              <w:left w:val="nil"/>
              <w:bottom w:val="single" w:sz="4" w:space="0" w:color="auto"/>
              <w:right w:val="single" w:sz="4" w:space="0" w:color="auto"/>
            </w:tcBorders>
            <w:shd w:val="clear" w:color="auto" w:fill="auto"/>
            <w:vAlign w:val="center"/>
            <w:hideMark/>
          </w:tcPr>
          <w:p w14:paraId="23F9F56A"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25,5</w:t>
            </w:r>
          </w:p>
        </w:tc>
      </w:tr>
      <w:tr w:rsidR="00C63E8D" w:rsidRPr="00C63E8D" w14:paraId="16051A3F"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4C1096F4"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Holanda</w:t>
            </w:r>
          </w:p>
        </w:tc>
        <w:tc>
          <w:tcPr>
            <w:tcW w:w="824" w:type="pct"/>
            <w:tcBorders>
              <w:top w:val="nil"/>
              <w:left w:val="nil"/>
              <w:bottom w:val="single" w:sz="4" w:space="0" w:color="auto"/>
              <w:right w:val="single" w:sz="4" w:space="0" w:color="auto"/>
            </w:tcBorders>
            <w:shd w:val="clear" w:color="auto" w:fill="auto"/>
            <w:vAlign w:val="center"/>
            <w:hideMark/>
          </w:tcPr>
          <w:p w14:paraId="337BE5C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30,7</w:t>
            </w:r>
          </w:p>
        </w:tc>
        <w:tc>
          <w:tcPr>
            <w:tcW w:w="833" w:type="pct"/>
            <w:tcBorders>
              <w:top w:val="nil"/>
              <w:left w:val="nil"/>
              <w:bottom w:val="single" w:sz="4" w:space="0" w:color="auto"/>
              <w:right w:val="single" w:sz="4" w:space="0" w:color="auto"/>
            </w:tcBorders>
            <w:shd w:val="clear" w:color="auto" w:fill="auto"/>
            <w:noWrap/>
            <w:vAlign w:val="center"/>
            <w:hideMark/>
          </w:tcPr>
          <w:p w14:paraId="332B0D0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37,84</w:t>
            </w:r>
          </w:p>
        </w:tc>
        <w:tc>
          <w:tcPr>
            <w:tcW w:w="833" w:type="pct"/>
            <w:tcBorders>
              <w:top w:val="nil"/>
              <w:left w:val="nil"/>
              <w:bottom w:val="single" w:sz="4" w:space="0" w:color="auto"/>
              <w:right w:val="single" w:sz="4" w:space="0" w:color="auto"/>
            </w:tcBorders>
            <w:shd w:val="clear" w:color="auto" w:fill="auto"/>
            <w:noWrap/>
            <w:vAlign w:val="center"/>
            <w:hideMark/>
          </w:tcPr>
          <w:p w14:paraId="159F006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11,28</w:t>
            </w:r>
          </w:p>
        </w:tc>
        <w:tc>
          <w:tcPr>
            <w:tcW w:w="833" w:type="pct"/>
            <w:tcBorders>
              <w:top w:val="nil"/>
              <w:left w:val="nil"/>
              <w:bottom w:val="single" w:sz="4" w:space="0" w:color="auto"/>
              <w:right w:val="single" w:sz="4" w:space="0" w:color="auto"/>
            </w:tcBorders>
            <w:shd w:val="clear" w:color="auto" w:fill="auto"/>
            <w:noWrap/>
            <w:vAlign w:val="center"/>
            <w:hideMark/>
          </w:tcPr>
          <w:p w14:paraId="0FDE96B5"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45,88</w:t>
            </w:r>
          </w:p>
        </w:tc>
        <w:tc>
          <w:tcPr>
            <w:tcW w:w="824" w:type="pct"/>
            <w:tcBorders>
              <w:top w:val="nil"/>
              <w:left w:val="nil"/>
              <w:bottom w:val="single" w:sz="4" w:space="0" w:color="auto"/>
              <w:right w:val="single" w:sz="4" w:space="0" w:color="auto"/>
            </w:tcBorders>
            <w:shd w:val="clear" w:color="auto" w:fill="auto"/>
            <w:vAlign w:val="center"/>
            <w:hideMark/>
          </w:tcPr>
          <w:p w14:paraId="69484ED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26,06</w:t>
            </w:r>
          </w:p>
        </w:tc>
      </w:tr>
      <w:tr w:rsidR="00C63E8D" w:rsidRPr="00C63E8D" w14:paraId="7FF5E8FF"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5CCCA6B2"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Bélgica</w:t>
            </w:r>
          </w:p>
        </w:tc>
        <w:tc>
          <w:tcPr>
            <w:tcW w:w="824" w:type="pct"/>
            <w:tcBorders>
              <w:top w:val="nil"/>
              <w:left w:val="nil"/>
              <w:bottom w:val="single" w:sz="4" w:space="0" w:color="auto"/>
              <w:right w:val="single" w:sz="4" w:space="0" w:color="auto"/>
            </w:tcBorders>
            <w:shd w:val="clear" w:color="auto" w:fill="auto"/>
            <w:vAlign w:val="center"/>
            <w:hideMark/>
          </w:tcPr>
          <w:p w14:paraId="3223E34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29,98</w:t>
            </w:r>
          </w:p>
        </w:tc>
        <w:tc>
          <w:tcPr>
            <w:tcW w:w="833" w:type="pct"/>
            <w:tcBorders>
              <w:top w:val="nil"/>
              <w:left w:val="nil"/>
              <w:bottom w:val="single" w:sz="4" w:space="0" w:color="auto"/>
              <w:right w:val="single" w:sz="4" w:space="0" w:color="auto"/>
            </w:tcBorders>
            <w:shd w:val="clear" w:color="auto" w:fill="auto"/>
            <w:noWrap/>
            <w:vAlign w:val="center"/>
            <w:hideMark/>
          </w:tcPr>
          <w:p w14:paraId="25D2710F"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43,02</w:t>
            </w:r>
          </w:p>
        </w:tc>
        <w:tc>
          <w:tcPr>
            <w:tcW w:w="833" w:type="pct"/>
            <w:tcBorders>
              <w:top w:val="nil"/>
              <w:left w:val="nil"/>
              <w:bottom w:val="single" w:sz="4" w:space="0" w:color="auto"/>
              <w:right w:val="single" w:sz="4" w:space="0" w:color="auto"/>
            </w:tcBorders>
            <w:shd w:val="clear" w:color="auto" w:fill="auto"/>
            <w:noWrap/>
            <w:vAlign w:val="center"/>
            <w:hideMark/>
          </w:tcPr>
          <w:p w14:paraId="15481F9F"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15,26</w:t>
            </w:r>
          </w:p>
        </w:tc>
        <w:tc>
          <w:tcPr>
            <w:tcW w:w="833" w:type="pct"/>
            <w:tcBorders>
              <w:top w:val="nil"/>
              <w:left w:val="nil"/>
              <w:bottom w:val="single" w:sz="4" w:space="0" w:color="auto"/>
              <w:right w:val="single" w:sz="4" w:space="0" w:color="auto"/>
            </w:tcBorders>
            <w:shd w:val="clear" w:color="auto" w:fill="auto"/>
            <w:noWrap/>
            <w:vAlign w:val="center"/>
            <w:hideMark/>
          </w:tcPr>
          <w:p w14:paraId="0AF1E211"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47,84</w:t>
            </w:r>
          </w:p>
        </w:tc>
        <w:tc>
          <w:tcPr>
            <w:tcW w:w="824" w:type="pct"/>
            <w:tcBorders>
              <w:top w:val="nil"/>
              <w:left w:val="nil"/>
              <w:bottom w:val="single" w:sz="4" w:space="0" w:color="auto"/>
              <w:right w:val="single" w:sz="4" w:space="0" w:color="auto"/>
            </w:tcBorders>
            <w:shd w:val="clear" w:color="auto" w:fill="auto"/>
            <w:vAlign w:val="center"/>
            <w:hideMark/>
          </w:tcPr>
          <w:p w14:paraId="7C7A6EB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26,16</w:t>
            </w:r>
          </w:p>
        </w:tc>
      </w:tr>
      <w:tr w:rsidR="00C63E8D" w:rsidRPr="00C63E8D" w14:paraId="58244EB4"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17F87759"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Italia</w:t>
            </w:r>
          </w:p>
        </w:tc>
        <w:tc>
          <w:tcPr>
            <w:tcW w:w="824" w:type="pct"/>
            <w:tcBorders>
              <w:top w:val="nil"/>
              <w:left w:val="nil"/>
              <w:bottom w:val="single" w:sz="4" w:space="0" w:color="auto"/>
              <w:right w:val="single" w:sz="4" w:space="0" w:color="auto"/>
            </w:tcBorders>
            <w:shd w:val="clear" w:color="auto" w:fill="auto"/>
            <w:vAlign w:val="center"/>
            <w:hideMark/>
          </w:tcPr>
          <w:p w14:paraId="32075CC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29,48</w:t>
            </w:r>
          </w:p>
        </w:tc>
        <w:tc>
          <w:tcPr>
            <w:tcW w:w="833" w:type="pct"/>
            <w:tcBorders>
              <w:top w:val="nil"/>
              <w:left w:val="nil"/>
              <w:bottom w:val="single" w:sz="4" w:space="0" w:color="auto"/>
              <w:right w:val="single" w:sz="4" w:space="0" w:color="auto"/>
            </w:tcBorders>
            <w:shd w:val="clear" w:color="auto" w:fill="auto"/>
            <w:noWrap/>
            <w:vAlign w:val="center"/>
            <w:hideMark/>
          </w:tcPr>
          <w:p w14:paraId="5F7F617C"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45,78</w:t>
            </w:r>
          </w:p>
        </w:tc>
        <w:tc>
          <w:tcPr>
            <w:tcW w:w="833" w:type="pct"/>
            <w:tcBorders>
              <w:top w:val="nil"/>
              <w:left w:val="nil"/>
              <w:bottom w:val="single" w:sz="4" w:space="0" w:color="auto"/>
              <w:right w:val="single" w:sz="4" w:space="0" w:color="auto"/>
            </w:tcBorders>
            <w:shd w:val="clear" w:color="auto" w:fill="auto"/>
            <w:noWrap/>
            <w:vAlign w:val="center"/>
            <w:hideMark/>
          </w:tcPr>
          <w:p w14:paraId="34CBC36A"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19,74</w:t>
            </w:r>
          </w:p>
        </w:tc>
        <w:tc>
          <w:tcPr>
            <w:tcW w:w="833" w:type="pct"/>
            <w:tcBorders>
              <w:top w:val="nil"/>
              <w:left w:val="nil"/>
              <w:bottom w:val="single" w:sz="4" w:space="0" w:color="auto"/>
              <w:right w:val="single" w:sz="4" w:space="0" w:color="auto"/>
            </w:tcBorders>
            <w:shd w:val="clear" w:color="auto" w:fill="auto"/>
            <w:noWrap/>
            <w:vAlign w:val="center"/>
            <w:hideMark/>
          </w:tcPr>
          <w:p w14:paraId="08148C8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48,96</w:t>
            </w:r>
          </w:p>
        </w:tc>
        <w:tc>
          <w:tcPr>
            <w:tcW w:w="824" w:type="pct"/>
            <w:tcBorders>
              <w:top w:val="nil"/>
              <w:left w:val="nil"/>
              <w:bottom w:val="single" w:sz="4" w:space="0" w:color="auto"/>
              <w:right w:val="single" w:sz="4" w:space="0" w:color="auto"/>
            </w:tcBorders>
            <w:shd w:val="clear" w:color="auto" w:fill="auto"/>
            <w:vAlign w:val="center"/>
            <w:hideMark/>
          </w:tcPr>
          <w:p w14:paraId="175FFAC6"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32,62</w:t>
            </w:r>
          </w:p>
        </w:tc>
      </w:tr>
      <w:tr w:rsidR="00C63E8D" w:rsidRPr="00C63E8D" w14:paraId="1DA543A7"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03EC21E4"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lastRenderedPageBreak/>
              <w:t>Austria</w:t>
            </w:r>
          </w:p>
        </w:tc>
        <w:tc>
          <w:tcPr>
            <w:tcW w:w="824" w:type="pct"/>
            <w:tcBorders>
              <w:top w:val="nil"/>
              <w:left w:val="nil"/>
              <w:bottom w:val="single" w:sz="4" w:space="0" w:color="auto"/>
              <w:right w:val="single" w:sz="4" w:space="0" w:color="auto"/>
            </w:tcBorders>
            <w:shd w:val="clear" w:color="auto" w:fill="auto"/>
            <w:vAlign w:val="center"/>
            <w:hideMark/>
          </w:tcPr>
          <w:p w14:paraId="14DCDAC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29,46</w:t>
            </w:r>
          </w:p>
        </w:tc>
        <w:tc>
          <w:tcPr>
            <w:tcW w:w="833" w:type="pct"/>
            <w:tcBorders>
              <w:top w:val="nil"/>
              <w:left w:val="nil"/>
              <w:bottom w:val="single" w:sz="4" w:space="0" w:color="auto"/>
              <w:right w:val="single" w:sz="4" w:space="0" w:color="auto"/>
            </w:tcBorders>
            <w:shd w:val="clear" w:color="auto" w:fill="auto"/>
            <w:noWrap/>
            <w:vAlign w:val="center"/>
            <w:hideMark/>
          </w:tcPr>
          <w:p w14:paraId="77C1F1E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44,26</w:t>
            </w:r>
          </w:p>
        </w:tc>
        <w:tc>
          <w:tcPr>
            <w:tcW w:w="833" w:type="pct"/>
            <w:tcBorders>
              <w:top w:val="nil"/>
              <w:left w:val="nil"/>
              <w:bottom w:val="single" w:sz="4" w:space="0" w:color="auto"/>
              <w:right w:val="single" w:sz="4" w:space="0" w:color="auto"/>
            </w:tcBorders>
            <w:shd w:val="clear" w:color="auto" w:fill="auto"/>
            <w:noWrap/>
            <w:vAlign w:val="center"/>
            <w:hideMark/>
          </w:tcPr>
          <w:p w14:paraId="666A6DE1"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14,18</w:t>
            </w:r>
          </w:p>
        </w:tc>
        <w:tc>
          <w:tcPr>
            <w:tcW w:w="833" w:type="pct"/>
            <w:tcBorders>
              <w:top w:val="nil"/>
              <w:left w:val="nil"/>
              <w:bottom w:val="single" w:sz="4" w:space="0" w:color="auto"/>
              <w:right w:val="single" w:sz="4" w:space="0" w:color="auto"/>
            </w:tcBorders>
            <w:shd w:val="clear" w:color="auto" w:fill="auto"/>
            <w:noWrap/>
            <w:vAlign w:val="center"/>
            <w:hideMark/>
          </w:tcPr>
          <w:p w14:paraId="1C0642DB"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47,36</w:t>
            </w:r>
          </w:p>
        </w:tc>
        <w:tc>
          <w:tcPr>
            <w:tcW w:w="824" w:type="pct"/>
            <w:tcBorders>
              <w:top w:val="nil"/>
              <w:left w:val="nil"/>
              <w:bottom w:val="single" w:sz="4" w:space="0" w:color="auto"/>
              <w:right w:val="single" w:sz="4" w:space="0" w:color="auto"/>
            </w:tcBorders>
            <w:shd w:val="clear" w:color="auto" w:fill="auto"/>
            <w:vAlign w:val="center"/>
            <w:hideMark/>
          </w:tcPr>
          <w:p w14:paraId="373F978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27,32</w:t>
            </w:r>
          </w:p>
        </w:tc>
      </w:tr>
      <w:tr w:rsidR="00C63E8D" w:rsidRPr="00C63E8D" w14:paraId="0E3A32DE"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6821322F"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Suecia</w:t>
            </w:r>
          </w:p>
        </w:tc>
        <w:tc>
          <w:tcPr>
            <w:tcW w:w="824" w:type="pct"/>
            <w:tcBorders>
              <w:top w:val="nil"/>
              <w:left w:val="nil"/>
              <w:bottom w:val="single" w:sz="4" w:space="0" w:color="auto"/>
              <w:right w:val="single" w:sz="4" w:space="0" w:color="auto"/>
            </w:tcBorders>
            <w:shd w:val="clear" w:color="auto" w:fill="auto"/>
            <w:vAlign w:val="center"/>
            <w:hideMark/>
          </w:tcPr>
          <w:p w14:paraId="5C8F311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29,24</w:t>
            </w:r>
          </w:p>
        </w:tc>
        <w:tc>
          <w:tcPr>
            <w:tcW w:w="833" w:type="pct"/>
            <w:tcBorders>
              <w:top w:val="nil"/>
              <w:left w:val="nil"/>
              <w:bottom w:val="single" w:sz="4" w:space="0" w:color="auto"/>
              <w:right w:val="single" w:sz="4" w:space="0" w:color="auto"/>
            </w:tcBorders>
            <w:shd w:val="clear" w:color="auto" w:fill="auto"/>
            <w:noWrap/>
            <w:vAlign w:val="center"/>
            <w:hideMark/>
          </w:tcPr>
          <w:p w14:paraId="7C5ABDB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44,54</w:t>
            </w:r>
          </w:p>
        </w:tc>
        <w:tc>
          <w:tcPr>
            <w:tcW w:w="833" w:type="pct"/>
            <w:tcBorders>
              <w:top w:val="nil"/>
              <w:left w:val="nil"/>
              <w:bottom w:val="single" w:sz="4" w:space="0" w:color="auto"/>
              <w:right w:val="single" w:sz="4" w:space="0" w:color="auto"/>
            </w:tcBorders>
            <w:shd w:val="clear" w:color="auto" w:fill="auto"/>
            <w:noWrap/>
            <w:vAlign w:val="center"/>
            <w:hideMark/>
          </w:tcPr>
          <w:p w14:paraId="402CA2BE"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15,86</w:t>
            </w:r>
          </w:p>
        </w:tc>
        <w:tc>
          <w:tcPr>
            <w:tcW w:w="833" w:type="pct"/>
            <w:tcBorders>
              <w:top w:val="nil"/>
              <w:left w:val="nil"/>
              <w:bottom w:val="single" w:sz="4" w:space="0" w:color="auto"/>
              <w:right w:val="single" w:sz="4" w:space="0" w:color="auto"/>
            </w:tcBorders>
            <w:shd w:val="clear" w:color="auto" w:fill="auto"/>
            <w:noWrap/>
            <w:vAlign w:val="center"/>
            <w:hideMark/>
          </w:tcPr>
          <w:p w14:paraId="0B6C32B6"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56,62</w:t>
            </w:r>
          </w:p>
        </w:tc>
        <w:tc>
          <w:tcPr>
            <w:tcW w:w="824" w:type="pct"/>
            <w:tcBorders>
              <w:top w:val="nil"/>
              <w:left w:val="nil"/>
              <w:bottom w:val="single" w:sz="4" w:space="0" w:color="auto"/>
              <w:right w:val="single" w:sz="4" w:space="0" w:color="auto"/>
            </w:tcBorders>
            <w:shd w:val="clear" w:color="auto" w:fill="auto"/>
            <w:vAlign w:val="center"/>
            <w:hideMark/>
          </w:tcPr>
          <w:p w14:paraId="50E221DE"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26,64</w:t>
            </w:r>
          </w:p>
        </w:tc>
      </w:tr>
      <w:tr w:rsidR="00C63E8D" w:rsidRPr="00C63E8D" w14:paraId="31CAC1AB"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69BE33BB"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Alemania</w:t>
            </w:r>
          </w:p>
        </w:tc>
        <w:tc>
          <w:tcPr>
            <w:tcW w:w="824" w:type="pct"/>
            <w:tcBorders>
              <w:top w:val="nil"/>
              <w:left w:val="nil"/>
              <w:bottom w:val="single" w:sz="4" w:space="0" w:color="auto"/>
              <w:right w:val="single" w:sz="4" w:space="0" w:color="auto"/>
            </w:tcBorders>
            <w:shd w:val="clear" w:color="auto" w:fill="auto"/>
            <w:vAlign w:val="center"/>
            <w:hideMark/>
          </w:tcPr>
          <w:p w14:paraId="40D378E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28,88</w:t>
            </w:r>
          </w:p>
        </w:tc>
        <w:tc>
          <w:tcPr>
            <w:tcW w:w="833" w:type="pct"/>
            <w:tcBorders>
              <w:top w:val="nil"/>
              <w:left w:val="nil"/>
              <w:bottom w:val="single" w:sz="4" w:space="0" w:color="auto"/>
              <w:right w:val="single" w:sz="4" w:space="0" w:color="auto"/>
            </w:tcBorders>
            <w:shd w:val="clear" w:color="auto" w:fill="auto"/>
            <w:noWrap/>
            <w:vAlign w:val="center"/>
            <w:hideMark/>
          </w:tcPr>
          <w:p w14:paraId="0BD22C4F"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43,66</w:t>
            </w:r>
          </w:p>
        </w:tc>
        <w:tc>
          <w:tcPr>
            <w:tcW w:w="833" w:type="pct"/>
            <w:tcBorders>
              <w:top w:val="nil"/>
              <w:left w:val="nil"/>
              <w:bottom w:val="single" w:sz="4" w:space="0" w:color="auto"/>
              <w:right w:val="single" w:sz="4" w:space="0" w:color="auto"/>
            </w:tcBorders>
            <w:shd w:val="clear" w:color="auto" w:fill="auto"/>
            <w:noWrap/>
            <w:vAlign w:val="center"/>
            <w:hideMark/>
          </w:tcPr>
          <w:p w14:paraId="18FA85E1"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16,42</w:t>
            </w:r>
          </w:p>
        </w:tc>
        <w:tc>
          <w:tcPr>
            <w:tcW w:w="833" w:type="pct"/>
            <w:tcBorders>
              <w:top w:val="nil"/>
              <w:left w:val="nil"/>
              <w:bottom w:val="single" w:sz="4" w:space="0" w:color="auto"/>
              <w:right w:val="single" w:sz="4" w:space="0" w:color="auto"/>
            </w:tcBorders>
            <w:shd w:val="clear" w:color="auto" w:fill="auto"/>
            <w:noWrap/>
            <w:vAlign w:val="center"/>
            <w:hideMark/>
          </w:tcPr>
          <w:p w14:paraId="5DEEBE8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56,08</w:t>
            </w:r>
          </w:p>
        </w:tc>
        <w:tc>
          <w:tcPr>
            <w:tcW w:w="824" w:type="pct"/>
            <w:tcBorders>
              <w:top w:val="nil"/>
              <w:left w:val="nil"/>
              <w:bottom w:val="single" w:sz="4" w:space="0" w:color="auto"/>
              <w:right w:val="single" w:sz="4" w:space="0" w:color="auto"/>
            </w:tcBorders>
            <w:shd w:val="clear" w:color="auto" w:fill="auto"/>
            <w:vAlign w:val="center"/>
            <w:hideMark/>
          </w:tcPr>
          <w:p w14:paraId="2B1077A5"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29,66</w:t>
            </w:r>
          </w:p>
        </w:tc>
      </w:tr>
      <w:tr w:rsidR="00C63E8D" w:rsidRPr="00C63E8D" w14:paraId="24F7F679"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4A7496F6"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Reino Unido</w:t>
            </w:r>
          </w:p>
        </w:tc>
        <w:tc>
          <w:tcPr>
            <w:tcW w:w="824" w:type="pct"/>
            <w:tcBorders>
              <w:top w:val="nil"/>
              <w:left w:val="nil"/>
              <w:bottom w:val="single" w:sz="4" w:space="0" w:color="auto"/>
              <w:right w:val="single" w:sz="4" w:space="0" w:color="auto"/>
            </w:tcBorders>
            <w:shd w:val="clear" w:color="auto" w:fill="auto"/>
            <w:vAlign w:val="center"/>
            <w:hideMark/>
          </w:tcPr>
          <w:p w14:paraId="75D02D0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28,44</w:t>
            </w:r>
          </w:p>
        </w:tc>
        <w:tc>
          <w:tcPr>
            <w:tcW w:w="833" w:type="pct"/>
            <w:tcBorders>
              <w:top w:val="nil"/>
              <w:left w:val="nil"/>
              <w:bottom w:val="single" w:sz="4" w:space="0" w:color="auto"/>
              <w:right w:val="single" w:sz="4" w:space="0" w:color="auto"/>
            </w:tcBorders>
            <w:shd w:val="clear" w:color="auto" w:fill="auto"/>
            <w:noWrap/>
            <w:vAlign w:val="center"/>
            <w:hideMark/>
          </w:tcPr>
          <w:p w14:paraId="4E5CB206"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44,04</w:t>
            </w:r>
          </w:p>
        </w:tc>
        <w:tc>
          <w:tcPr>
            <w:tcW w:w="833" w:type="pct"/>
            <w:tcBorders>
              <w:top w:val="nil"/>
              <w:left w:val="nil"/>
              <w:bottom w:val="single" w:sz="4" w:space="0" w:color="auto"/>
              <w:right w:val="single" w:sz="4" w:space="0" w:color="auto"/>
            </w:tcBorders>
            <w:shd w:val="clear" w:color="auto" w:fill="auto"/>
            <w:noWrap/>
            <w:vAlign w:val="center"/>
            <w:hideMark/>
          </w:tcPr>
          <w:p w14:paraId="55265E7B"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16,24</w:t>
            </w:r>
          </w:p>
        </w:tc>
        <w:tc>
          <w:tcPr>
            <w:tcW w:w="833" w:type="pct"/>
            <w:tcBorders>
              <w:top w:val="nil"/>
              <w:left w:val="nil"/>
              <w:bottom w:val="single" w:sz="4" w:space="0" w:color="auto"/>
              <w:right w:val="single" w:sz="4" w:space="0" w:color="auto"/>
            </w:tcBorders>
            <w:shd w:val="clear" w:color="auto" w:fill="auto"/>
            <w:noWrap/>
            <w:vAlign w:val="center"/>
            <w:hideMark/>
          </w:tcPr>
          <w:p w14:paraId="3C03676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54,68</w:t>
            </w:r>
          </w:p>
        </w:tc>
        <w:tc>
          <w:tcPr>
            <w:tcW w:w="824" w:type="pct"/>
            <w:tcBorders>
              <w:top w:val="nil"/>
              <w:left w:val="nil"/>
              <w:bottom w:val="single" w:sz="4" w:space="0" w:color="auto"/>
              <w:right w:val="single" w:sz="4" w:space="0" w:color="auto"/>
            </w:tcBorders>
            <w:shd w:val="clear" w:color="auto" w:fill="auto"/>
            <w:vAlign w:val="center"/>
            <w:hideMark/>
          </w:tcPr>
          <w:p w14:paraId="69A2C8A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31,4</w:t>
            </w:r>
          </w:p>
        </w:tc>
      </w:tr>
      <w:tr w:rsidR="00C63E8D" w:rsidRPr="00C63E8D" w14:paraId="311BFAF1"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57B750F4"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Grecia</w:t>
            </w:r>
          </w:p>
        </w:tc>
        <w:tc>
          <w:tcPr>
            <w:tcW w:w="824" w:type="pct"/>
            <w:tcBorders>
              <w:top w:val="nil"/>
              <w:left w:val="nil"/>
              <w:bottom w:val="single" w:sz="4" w:space="0" w:color="auto"/>
              <w:right w:val="single" w:sz="4" w:space="0" w:color="auto"/>
            </w:tcBorders>
            <w:shd w:val="clear" w:color="auto" w:fill="auto"/>
            <w:vAlign w:val="center"/>
            <w:hideMark/>
          </w:tcPr>
          <w:p w14:paraId="2EA9880B"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26,8</w:t>
            </w:r>
          </w:p>
        </w:tc>
        <w:tc>
          <w:tcPr>
            <w:tcW w:w="833" w:type="pct"/>
            <w:tcBorders>
              <w:top w:val="nil"/>
              <w:left w:val="nil"/>
              <w:bottom w:val="single" w:sz="4" w:space="0" w:color="auto"/>
              <w:right w:val="single" w:sz="4" w:space="0" w:color="auto"/>
            </w:tcBorders>
            <w:shd w:val="clear" w:color="auto" w:fill="auto"/>
            <w:noWrap/>
            <w:vAlign w:val="center"/>
            <w:hideMark/>
          </w:tcPr>
          <w:p w14:paraId="38D4DAF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52,24</w:t>
            </w:r>
          </w:p>
        </w:tc>
        <w:tc>
          <w:tcPr>
            <w:tcW w:w="833" w:type="pct"/>
            <w:tcBorders>
              <w:top w:val="nil"/>
              <w:left w:val="nil"/>
              <w:bottom w:val="single" w:sz="4" w:space="0" w:color="auto"/>
              <w:right w:val="single" w:sz="4" w:space="0" w:color="auto"/>
            </w:tcBorders>
            <w:shd w:val="clear" w:color="auto" w:fill="auto"/>
            <w:noWrap/>
            <w:vAlign w:val="center"/>
            <w:hideMark/>
          </w:tcPr>
          <w:p w14:paraId="58E064A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22,18</w:t>
            </w:r>
          </w:p>
        </w:tc>
        <w:tc>
          <w:tcPr>
            <w:tcW w:w="833" w:type="pct"/>
            <w:tcBorders>
              <w:top w:val="nil"/>
              <w:left w:val="nil"/>
              <w:bottom w:val="single" w:sz="4" w:space="0" w:color="auto"/>
              <w:right w:val="single" w:sz="4" w:space="0" w:color="auto"/>
            </w:tcBorders>
            <w:shd w:val="clear" w:color="auto" w:fill="auto"/>
            <w:noWrap/>
            <w:vAlign w:val="center"/>
            <w:hideMark/>
          </w:tcPr>
          <w:p w14:paraId="33826CB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60,18</w:t>
            </w:r>
          </w:p>
        </w:tc>
        <w:tc>
          <w:tcPr>
            <w:tcW w:w="824" w:type="pct"/>
            <w:tcBorders>
              <w:top w:val="nil"/>
              <w:left w:val="nil"/>
              <w:bottom w:val="single" w:sz="4" w:space="0" w:color="auto"/>
              <w:right w:val="single" w:sz="4" w:space="0" w:color="auto"/>
            </w:tcBorders>
            <w:shd w:val="clear" w:color="auto" w:fill="auto"/>
            <w:vAlign w:val="center"/>
            <w:hideMark/>
          </w:tcPr>
          <w:p w14:paraId="2D910FE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34,34</w:t>
            </w:r>
          </w:p>
        </w:tc>
      </w:tr>
      <w:tr w:rsidR="00C63E8D" w:rsidRPr="00C63E8D" w14:paraId="352F7E79"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1976CA37"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Portugal</w:t>
            </w:r>
          </w:p>
        </w:tc>
        <w:tc>
          <w:tcPr>
            <w:tcW w:w="824" w:type="pct"/>
            <w:tcBorders>
              <w:top w:val="nil"/>
              <w:left w:val="nil"/>
              <w:bottom w:val="single" w:sz="4" w:space="0" w:color="auto"/>
              <w:right w:val="single" w:sz="4" w:space="0" w:color="auto"/>
            </w:tcBorders>
            <w:shd w:val="clear" w:color="auto" w:fill="auto"/>
            <w:vAlign w:val="center"/>
            <w:hideMark/>
          </w:tcPr>
          <w:p w14:paraId="7D38719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26,48</w:t>
            </w:r>
          </w:p>
        </w:tc>
        <w:tc>
          <w:tcPr>
            <w:tcW w:w="833" w:type="pct"/>
            <w:tcBorders>
              <w:top w:val="nil"/>
              <w:left w:val="nil"/>
              <w:bottom w:val="single" w:sz="4" w:space="0" w:color="auto"/>
              <w:right w:val="single" w:sz="4" w:space="0" w:color="auto"/>
            </w:tcBorders>
            <w:shd w:val="clear" w:color="auto" w:fill="auto"/>
            <w:noWrap/>
            <w:vAlign w:val="center"/>
            <w:hideMark/>
          </w:tcPr>
          <w:p w14:paraId="796A0D2F"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46,8</w:t>
            </w:r>
          </w:p>
        </w:tc>
        <w:tc>
          <w:tcPr>
            <w:tcW w:w="833" w:type="pct"/>
            <w:tcBorders>
              <w:top w:val="nil"/>
              <w:left w:val="nil"/>
              <w:bottom w:val="single" w:sz="4" w:space="0" w:color="auto"/>
              <w:right w:val="single" w:sz="4" w:space="0" w:color="auto"/>
            </w:tcBorders>
            <w:shd w:val="clear" w:color="auto" w:fill="auto"/>
            <w:noWrap/>
            <w:vAlign w:val="center"/>
            <w:hideMark/>
          </w:tcPr>
          <w:p w14:paraId="7488BCC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18,92</w:t>
            </w:r>
          </w:p>
        </w:tc>
        <w:tc>
          <w:tcPr>
            <w:tcW w:w="833" w:type="pct"/>
            <w:tcBorders>
              <w:top w:val="nil"/>
              <w:left w:val="nil"/>
              <w:bottom w:val="single" w:sz="4" w:space="0" w:color="auto"/>
              <w:right w:val="single" w:sz="4" w:space="0" w:color="auto"/>
            </w:tcBorders>
            <w:shd w:val="clear" w:color="auto" w:fill="auto"/>
            <w:noWrap/>
            <w:vAlign w:val="center"/>
            <w:hideMark/>
          </w:tcPr>
          <w:p w14:paraId="3CBF367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59,36</w:t>
            </w:r>
          </w:p>
        </w:tc>
        <w:tc>
          <w:tcPr>
            <w:tcW w:w="824" w:type="pct"/>
            <w:tcBorders>
              <w:top w:val="nil"/>
              <w:left w:val="nil"/>
              <w:bottom w:val="single" w:sz="4" w:space="0" w:color="auto"/>
              <w:right w:val="single" w:sz="4" w:space="0" w:color="auto"/>
            </w:tcBorders>
            <w:shd w:val="clear" w:color="auto" w:fill="auto"/>
            <w:vAlign w:val="center"/>
            <w:hideMark/>
          </w:tcPr>
          <w:p w14:paraId="0E999681"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34,22</w:t>
            </w:r>
          </w:p>
        </w:tc>
      </w:tr>
      <w:tr w:rsidR="00C63E8D" w:rsidRPr="00C63E8D" w14:paraId="0EE9F267"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7A13B6DA"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España</w:t>
            </w:r>
          </w:p>
        </w:tc>
        <w:tc>
          <w:tcPr>
            <w:tcW w:w="824" w:type="pct"/>
            <w:tcBorders>
              <w:top w:val="nil"/>
              <w:left w:val="nil"/>
              <w:bottom w:val="single" w:sz="4" w:space="0" w:color="auto"/>
              <w:right w:val="single" w:sz="4" w:space="0" w:color="auto"/>
            </w:tcBorders>
            <w:shd w:val="clear" w:color="auto" w:fill="auto"/>
            <w:vAlign w:val="center"/>
            <w:hideMark/>
          </w:tcPr>
          <w:p w14:paraId="615AD3A9"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25,32</w:t>
            </w:r>
          </w:p>
        </w:tc>
        <w:tc>
          <w:tcPr>
            <w:tcW w:w="833" w:type="pct"/>
            <w:tcBorders>
              <w:top w:val="nil"/>
              <w:left w:val="nil"/>
              <w:bottom w:val="single" w:sz="4" w:space="0" w:color="auto"/>
              <w:right w:val="single" w:sz="4" w:space="0" w:color="auto"/>
            </w:tcBorders>
            <w:shd w:val="clear" w:color="auto" w:fill="auto"/>
            <w:noWrap/>
            <w:vAlign w:val="center"/>
            <w:hideMark/>
          </w:tcPr>
          <w:p w14:paraId="7476EE02"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46,12</w:t>
            </w:r>
          </w:p>
        </w:tc>
        <w:tc>
          <w:tcPr>
            <w:tcW w:w="833" w:type="pct"/>
            <w:tcBorders>
              <w:top w:val="nil"/>
              <w:left w:val="nil"/>
              <w:bottom w:val="single" w:sz="4" w:space="0" w:color="auto"/>
              <w:right w:val="single" w:sz="4" w:space="0" w:color="auto"/>
            </w:tcBorders>
            <w:shd w:val="clear" w:color="auto" w:fill="auto"/>
            <w:noWrap/>
            <w:vAlign w:val="center"/>
            <w:hideMark/>
          </w:tcPr>
          <w:p w14:paraId="1195A6FC"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21,56</w:t>
            </w:r>
          </w:p>
        </w:tc>
        <w:tc>
          <w:tcPr>
            <w:tcW w:w="833" w:type="pct"/>
            <w:tcBorders>
              <w:top w:val="nil"/>
              <w:left w:val="nil"/>
              <w:bottom w:val="single" w:sz="4" w:space="0" w:color="auto"/>
              <w:right w:val="single" w:sz="4" w:space="0" w:color="auto"/>
            </w:tcBorders>
            <w:shd w:val="clear" w:color="auto" w:fill="auto"/>
            <w:noWrap/>
            <w:vAlign w:val="center"/>
            <w:hideMark/>
          </w:tcPr>
          <w:p w14:paraId="3533C686"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50,08</w:t>
            </w:r>
          </w:p>
        </w:tc>
        <w:tc>
          <w:tcPr>
            <w:tcW w:w="824" w:type="pct"/>
            <w:tcBorders>
              <w:top w:val="nil"/>
              <w:left w:val="nil"/>
              <w:bottom w:val="single" w:sz="4" w:space="0" w:color="auto"/>
              <w:right w:val="single" w:sz="4" w:space="0" w:color="auto"/>
            </w:tcBorders>
            <w:shd w:val="clear" w:color="auto" w:fill="auto"/>
            <w:vAlign w:val="center"/>
            <w:hideMark/>
          </w:tcPr>
          <w:p w14:paraId="1E53C644"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34,34</w:t>
            </w:r>
          </w:p>
        </w:tc>
      </w:tr>
      <w:tr w:rsidR="00C63E8D" w:rsidRPr="00C63E8D" w14:paraId="444F121D"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400508C6"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Luxemburgo</w:t>
            </w:r>
          </w:p>
        </w:tc>
        <w:tc>
          <w:tcPr>
            <w:tcW w:w="824" w:type="pct"/>
            <w:tcBorders>
              <w:top w:val="nil"/>
              <w:left w:val="nil"/>
              <w:bottom w:val="single" w:sz="4" w:space="0" w:color="auto"/>
              <w:right w:val="single" w:sz="4" w:space="0" w:color="auto"/>
            </w:tcBorders>
            <w:shd w:val="clear" w:color="auto" w:fill="auto"/>
            <w:vAlign w:val="center"/>
            <w:hideMark/>
          </w:tcPr>
          <w:p w14:paraId="1C2E65FB"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22,42</w:t>
            </w:r>
          </w:p>
        </w:tc>
        <w:tc>
          <w:tcPr>
            <w:tcW w:w="833" w:type="pct"/>
            <w:tcBorders>
              <w:top w:val="nil"/>
              <w:left w:val="nil"/>
              <w:bottom w:val="single" w:sz="4" w:space="0" w:color="auto"/>
              <w:right w:val="single" w:sz="4" w:space="0" w:color="auto"/>
            </w:tcBorders>
            <w:shd w:val="clear" w:color="auto" w:fill="auto"/>
            <w:noWrap/>
            <w:vAlign w:val="center"/>
            <w:hideMark/>
          </w:tcPr>
          <w:p w14:paraId="3B0AFDB0"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45</w:t>
            </w:r>
          </w:p>
        </w:tc>
        <w:tc>
          <w:tcPr>
            <w:tcW w:w="833" w:type="pct"/>
            <w:tcBorders>
              <w:top w:val="nil"/>
              <w:left w:val="nil"/>
              <w:bottom w:val="single" w:sz="4" w:space="0" w:color="auto"/>
              <w:right w:val="single" w:sz="4" w:space="0" w:color="auto"/>
            </w:tcBorders>
            <w:shd w:val="clear" w:color="auto" w:fill="auto"/>
            <w:noWrap/>
            <w:vAlign w:val="center"/>
            <w:hideMark/>
          </w:tcPr>
          <w:p w14:paraId="2FB328EC"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15,84</w:t>
            </w:r>
          </w:p>
        </w:tc>
        <w:tc>
          <w:tcPr>
            <w:tcW w:w="833" w:type="pct"/>
            <w:tcBorders>
              <w:top w:val="nil"/>
              <w:left w:val="nil"/>
              <w:bottom w:val="single" w:sz="4" w:space="0" w:color="auto"/>
              <w:right w:val="single" w:sz="4" w:space="0" w:color="auto"/>
            </w:tcBorders>
            <w:shd w:val="clear" w:color="auto" w:fill="auto"/>
            <w:noWrap/>
            <w:vAlign w:val="center"/>
            <w:hideMark/>
          </w:tcPr>
          <w:p w14:paraId="0735B35D"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48,44</w:t>
            </w:r>
          </w:p>
        </w:tc>
        <w:tc>
          <w:tcPr>
            <w:tcW w:w="824" w:type="pct"/>
            <w:tcBorders>
              <w:top w:val="nil"/>
              <w:left w:val="nil"/>
              <w:bottom w:val="single" w:sz="4" w:space="0" w:color="auto"/>
              <w:right w:val="single" w:sz="4" w:space="0" w:color="auto"/>
            </w:tcBorders>
            <w:shd w:val="clear" w:color="auto" w:fill="auto"/>
            <w:vAlign w:val="center"/>
            <w:hideMark/>
          </w:tcPr>
          <w:p w14:paraId="322EB12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29,32</w:t>
            </w:r>
          </w:p>
        </w:tc>
      </w:tr>
      <w:tr w:rsidR="00C63E8D" w:rsidRPr="00C63E8D" w14:paraId="5E4CB00E" w14:textId="77777777" w:rsidTr="005F1A1A">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2876C06C" w14:textId="77777777" w:rsidR="00C63E8D" w:rsidRPr="00C63E8D" w:rsidRDefault="00C63E8D" w:rsidP="005F1A1A">
            <w:pPr>
              <w:jc w:val="both"/>
              <w:rPr>
                <w:rFonts w:eastAsia="Times New Roman"/>
                <w:color w:val="000000"/>
                <w:sz w:val="20"/>
                <w:szCs w:val="20"/>
              </w:rPr>
            </w:pPr>
            <w:r w:rsidRPr="00C63E8D">
              <w:rPr>
                <w:rFonts w:eastAsia="Times New Roman"/>
                <w:color w:val="000000"/>
                <w:sz w:val="20"/>
                <w:szCs w:val="20"/>
              </w:rPr>
              <w:t>Irlanda</w:t>
            </w:r>
          </w:p>
        </w:tc>
        <w:tc>
          <w:tcPr>
            <w:tcW w:w="824" w:type="pct"/>
            <w:tcBorders>
              <w:top w:val="nil"/>
              <w:left w:val="nil"/>
              <w:bottom w:val="single" w:sz="4" w:space="0" w:color="auto"/>
              <w:right w:val="single" w:sz="4" w:space="0" w:color="auto"/>
            </w:tcBorders>
            <w:shd w:val="clear" w:color="auto" w:fill="auto"/>
            <w:vAlign w:val="center"/>
            <w:hideMark/>
          </w:tcPr>
          <w:p w14:paraId="6EC0B990"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22,1</w:t>
            </w:r>
          </w:p>
        </w:tc>
        <w:tc>
          <w:tcPr>
            <w:tcW w:w="833" w:type="pct"/>
            <w:tcBorders>
              <w:top w:val="nil"/>
              <w:left w:val="nil"/>
              <w:bottom w:val="single" w:sz="4" w:space="0" w:color="auto"/>
              <w:right w:val="single" w:sz="4" w:space="0" w:color="auto"/>
            </w:tcBorders>
            <w:shd w:val="clear" w:color="auto" w:fill="auto"/>
            <w:noWrap/>
            <w:vAlign w:val="center"/>
            <w:hideMark/>
          </w:tcPr>
          <w:p w14:paraId="729BAA58"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47,72</w:t>
            </w:r>
          </w:p>
        </w:tc>
        <w:tc>
          <w:tcPr>
            <w:tcW w:w="833" w:type="pct"/>
            <w:tcBorders>
              <w:top w:val="nil"/>
              <w:left w:val="nil"/>
              <w:bottom w:val="single" w:sz="4" w:space="0" w:color="auto"/>
              <w:right w:val="single" w:sz="4" w:space="0" w:color="auto"/>
            </w:tcBorders>
            <w:shd w:val="clear" w:color="auto" w:fill="auto"/>
            <w:noWrap/>
            <w:vAlign w:val="center"/>
            <w:hideMark/>
          </w:tcPr>
          <w:p w14:paraId="58E2D480"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16,32</w:t>
            </w:r>
          </w:p>
        </w:tc>
        <w:tc>
          <w:tcPr>
            <w:tcW w:w="833" w:type="pct"/>
            <w:tcBorders>
              <w:top w:val="nil"/>
              <w:left w:val="nil"/>
              <w:bottom w:val="single" w:sz="4" w:space="0" w:color="auto"/>
              <w:right w:val="single" w:sz="4" w:space="0" w:color="auto"/>
            </w:tcBorders>
            <w:shd w:val="clear" w:color="auto" w:fill="auto"/>
            <w:noWrap/>
            <w:vAlign w:val="center"/>
            <w:hideMark/>
          </w:tcPr>
          <w:p w14:paraId="10FF06F3"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52,5</w:t>
            </w:r>
          </w:p>
        </w:tc>
        <w:tc>
          <w:tcPr>
            <w:tcW w:w="824" w:type="pct"/>
            <w:tcBorders>
              <w:top w:val="nil"/>
              <w:left w:val="nil"/>
              <w:bottom w:val="single" w:sz="4" w:space="0" w:color="auto"/>
              <w:right w:val="single" w:sz="4" w:space="0" w:color="auto"/>
            </w:tcBorders>
            <w:shd w:val="clear" w:color="auto" w:fill="auto"/>
            <w:vAlign w:val="center"/>
            <w:hideMark/>
          </w:tcPr>
          <w:p w14:paraId="22BA4097" w14:textId="77777777" w:rsidR="00C63E8D" w:rsidRPr="00C63E8D" w:rsidRDefault="00C63E8D" w:rsidP="005F1A1A">
            <w:pPr>
              <w:jc w:val="center"/>
              <w:rPr>
                <w:rFonts w:eastAsia="Times New Roman"/>
                <w:color w:val="000000"/>
                <w:sz w:val="20"/>
                <w:szCs w:val="20"/>
              </w:rPr>
            </w:pPr>
            <w:r w:rsidRPr="00C63E8D">
              <w:rPr>
                <w:rFonts w:eastAsia="Times New Roman"/>
                <w:color w:val="000000"/>
                <w:sz w:val="20"/>
                <w:szCs w:val="20"/>
              </w:rPr>
              <w:t>30,32</w:t>
            </w:r>
          </w:p>
        </w:tc>
      </w:tr>
    </w:tbl>
    <w:p w14:paraId="3F0AE2B3" w14:textId="2D0B4F47" w:rsidR="00C63E8D" w:rsidRPr="00C63E8D" w:rsidRDefault="00C63E8D" w:rsidP="00C63E8D">
      <w:pPr>
        <w:jc w:val="both"/>
        <w:rPr>
          <w:sz w:val="20"/>
          <w:szCs w:val="20"/>
        </w:rPr>
      </w:pPr>
      <w:r w:rsidRPr="00C63E8D">
        <w:rPr>
          <w:sz w:val="20"/>
          <w:szCs w:val="20"/>
        </w:rPr>
        <w:t>Los países están ordenados según el Gasto social (</w:t>
      </w:r>
      <w:r w:rsidRPr="00C63E8D">
        <w:rPr>
          <w:i/>
          <w:sz w:val="20"/>
          <w:szCs w:val="20"/>
        </w:rPr>
        <w:t>GS</w:t>
      </w:r>
      <w:r w:rsidRPr="00C63E8D">
        <w:rPr>
          <w:sz w:val="20"/>
          <w:szCs w:val="20"/>
        </w:rPr>
        <w:t xml:space="preserve">). </w:t>
      </w:r>
    </w:p>
    <w:p w14:paraId="1FA7D029" w14:textId="77777777" w:rsidR="00C63E8D" w:rsidRPr="00C63E8D" w:rsidRDefault="00C63E8D" w:rsidP="00C63E8D">
      <w:pPr>
        <w:jc w:val="both"/>
        <w:rPr>
          <w:sz w:val="20"/>
          <w:szCs w:val="20"/>
        </w:rPr>
      </w:pPr>
      <w:r w:rsidRPr="00C63E8D">
        <w:rPr>
          <w:i/>
          <w:sz w:val="20"/>
          <w:szCs w:val="20"/>
        </w:rPr>
        <w:t>RPp</w:t>
      </w:r>
      <w:r w:rsidRPr="00C63E8D">
        <w:rPr>
          <w:sz w:val="20"/>
          <w:szCs w:val="20"/>
        </w:rPr>
        <w:t xml:space="preserve">: </w:t>
      </w:r>
      <w:r w:rsidRPr="00C63E8D">
        <w:rPr>
          <w:rFonts w:eastAsia="Times New Roman"/>
          <w:sz w:val="20"/>
          <w:szCs w:val="20"/>
        </w:rPr>
        <w:t>Riesgo de pobreza después de prestaciones 2011-2015 (base 100)</w:t>
      </w:r>
    </w:p>
    <w:p w14:paraId="03E9744A" w14:textId="77777777" w:rsidR="00C63E8D" w:rsidRPr="00C63E8D" w:rsidRDefault="00C63E8D" w:rsidP="00C63E8D">
      <w:pPr>
        <w:jc w:val="both"/>
        <w:rPr>
          <w:sz w:val="20"/>
          <w:szCs w:val="20"/>
        </w:rPr>
      </w:pPr>
      <w:r w:rsidRPr="00C63E8D">
        <w:rPr>
          <w:i/>
          <w:sz w:val="20"/>
          <w:szCs w:val="20"/>
        </w:rPr>
        <w:t>RPa</w:t>
      </w:r>
      <w:r w:rsidRPr="00C63E8D">
        <w:rPr>
          <w:sz w:val="20"/>
          <w:szCs w:val="20"/>
        </w:rPr>
        <w:t xml:space="preserve">: </w:t>
      </w:r>
      <w:r w:rsidRPr="00C63E8D">
        <w:rPr>
          <w:rFonts w:eastAsia="Times New Roman"/>
          <w:sz w:val="20"/>
          <w:szCs w:val="20"/>
        </w:rPr>
        <w:t>Riesgo de pobreza antes de prestaciones 2011-2015 (base 100)</w:t>
      </w:r>
    </w:p>
    <w:p w14:paraId="2E1EE19F" w14:textId="77777777" w:rsidR="00C63E8D" w:rsidRPr="00C63E8D" w:rsidRDefault="00C63E8D" w:rsidP="00C63E8D">
      <w:pPr>
        <w:jc w:val="both"/>
        <w:rPr>
          <w:sz w:val="20"/>
          <w:szCs w:val="20"/>
        </w:rPr>
      </w:pPr>
      <w:r w:rsidRPr="00C63E8D">
        <w:rPr>
          <w:i/>
          <w:sz w:val="20"/>
          <w:szCs w:val="20"/>
        </w:rPr>
        <w:t>GS</w:t>
      </w:r>
      <w:r w:rsidRPr="00C63E8D">
        <w:rPr>
          <w:sz w:val="20"/>
          <w:szCs w:val="20"/>
        </w:rPr>
        <w:t xml:space="preserve">: Gasto social como porcentaje del PIB </w:t>
      </w:r>
      <w:r w:rsidRPr="00C63E8D">
        <w:rPr>
          <w:rFonts w:eastAsia="Times New Roman"/>
          <w:sz w:val="20"/>
          <w:szCs w:val="20"/>
        </w:rPr>
        <w:t>2011-2015</w:t>
      </w:r>
    </w:p>
    <w:p w14:paraId="71C26714" w14:textId="77777777" w:rsidR="00C63E8D" w:rsidRPr="00C63E8D" w:rsidRDefault="00C63E8D" w:rsidP="00C63E8D">
      <w:pPr>
        <w:jc w:val="both"/>
        <w:rPr>
          <w:sz w:val="20"/>
          <w:szCs w:val="20"/>
        </w:rPr>
      </w:pPr>
      <w:r w:rsidRPr="00C63E8D">
        <w:rPr>
          <w:i/>
          <w:sz w:val="20"/>
          <w:szCs w:val="20"/>
        </w:rPr>
        <w:t>IGp</w:t>
      </w:r>
      <w:r w:rsidRPr="00C63E8D">
        <w:rPr>
          <w:sz w:val="20"/>
          <w:szCs w:val="20"/>
        </w:rPr>
        <w:t xml:space="preserve">: </w:t>
      </w:r>
      <w:r w:rsidRPr="00C63E8D">
        <w:rPr>
          <w:rFonts w:eastAsia="Times New Roman"/>
          <w:sz w:val="20"/>
          <w:szCs w:val="20"/>
        </w:rPr>
        <w:t>Índice de Gini después de prestaciones 2011-2015 (base 100)</w:t>
      </w:r>
    </w:p>
    <w:p w14:paraId="49F94DB2" w14:textId="2B618073" w:rsidR="00C63E8D" w:rsidRDefault="00C63E8D" w:rsidP="00C63E8D">
      <w:pPr>
        <w:jc w:val="both"/>
        <w:rPr>
          <w:sz w:val="20"/>
          <w:szCs w:val="20"/>
        </w:rPr>
      </w:pPr>
      <w:r w:rsidRPr="00C63E8D">
        <w:rPr>
          <w:i/>
          <w:sz w:val="20"/>
          <w:szCs w:val="20"/>
        </w:rPr>
        <w:t>IGa</w:t>
      </w:r>
      <w:r w:rsidRPr="00C63E8D">
        <w:rPr>
          <w:sz w:val="20"/>
          <w:szCs w:val="20"/>
        </w:rPr>
        <w:t>: Índice de Gini antes de prestaciones 2011-2015 (base 100)</w:t>
      </w:r>
    </w:p>
    <w:p w14:paraId="56897E16" w14:textId="1C5E2013" w:rsidR="00C63E8D" w:rsidRPr="00C63E8D" w:rsidRDefault="00C63E8D" w:rsidP="00C63E8D">
      <w:pPr>
        <w:spacing w:after="240"/>
        <w:jc w:val="center"/>
        <w:rPr>
          <w:sz w:val="20"/>
          <w:szCs w:val="20"/>
        </w:rPr>
      </w:pPr>
      <w:r w:rsidRPr="00C63E8D">
        <w:rPr>
          <w:sz w:val="20"/>
          <w:szCs w:val="20"/>
        </w:rPr>
        <w:t>Fuente: Elaboración propia a partir de datos de Eurostat, 2018.</w:t>
      </w:r>
    </w:p>
    <w:p w14:paraId="7C268100" w14:textId="77777777" w:rsidR="00C63E8D" w:rsidRPr="00C63E8D" w:rsidRDefault="00C63E8D" w:rsidP="00C63E8D">
      <w:pPr>
        <w:spacing w:after="240"/>
        <w:jc w:val="both"/>
        <w:rPr>
          <w:sz w:val="20"/>
          <w:szCs w:val="20"/>
        </w:rPr>
      </w:pPr>
    </w:p>
    <w:p w14:paraId="6C2FC6F2" w14:textId="43D4CDD5" w:rsidR="00C63E8D" w:rsidRPr="00C63E8D" w:rsidRDefault="00C63E8D" w:rsidP="00C63E8D">
      <w:pPr>
        <w:spacing w:after="240"/>
        <w:jc w:val="center"/>
        <w:rPr>
          <w:b/>
          <w:sz w:val="20"/>
          <w:szCs w:val="20"/>
        </w:rPr>
      </w:pPr>
      <w:r w:rsidRPr="00C63E8D">
        <w:rPr>
          <w:b/>
          <w:sz w:val="20"/>
          <w:szCs w:val="20"/>
        </w:rPr>
        <w:t>Tabla 2. Correlaciones entre las diferentes variables empleadas en el estudio de la pobreza y su significación</w:t>
      </w:r>
      <w:r>
        <w:rPr>
          <w:b/>
          <w:sz w:val="20"/>
          <w:szCs w:val="20"/>
        </w:rPr>
        <w:t>.</w:t>
      </w:r>
    </w:p>
    <w:tbl>
      <w:tblPr>
        <w:tblW w:w="5000" w:type="pct"/>
        <w:tblCellMar>
          <w:left w:w="70" w:type="dxa"/>
          <w:right w:w="70" w:type="dxa"/>
        </w:tblCellMar>
        <w:tblLook w:val="04A0" w:firstRow="1" w:lastRow="0" w:firstColumn="1" w:lastColumn="0" w:noHBand="0" w:noVBand="1"/>
      </w:tblPr>
      <w:tblGrid>
        <w:gridCol w:w="1502"/>
        <w:gridCol w:w="1502"/>
        <w:gridCol w:w="1502"/>
        <w:gridCol w:w="1502"/>
        <w:gridCol w:w="1501"/>
        <w:gridCol w:w="1501"/>
      </w:tblGrid>
      <w:tr w:rsidR="00C63E8D" w:rsidRPr="00C63E8D" w14:paraId="1D215B19" w14:textId="77777777" w:rsidTr="005F1A1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2C1E" w14:textId="77777777" w:rsidR="00C63E8D" w:rsidRPr="00C63E8D" w:rsidRDefault="00C63E8D" w:rsidP="005F1A1A">
            <w:pPr>
              <w:jc w:val="center"/>
              <w:rPr>
                <w:rFonts w:eastAsia="Times New Roman"/>
                <w:b/>
                <w:i/>
                <w:iCs/>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84FE" w14:textId="77777777" w:rsidR="00C63E8D" w:rsidRPr="00C63E8D" w:rsidRDefault="00C63E8D" w:rsidP="005F1A1A">
            <w:pPr>
              <w:jc w:val="center"/>
              <w:rPr>
                <w:rFonts w:eastAsia="Times New Roman"/>
                <w:b/>
                <w:i/>
                <w:iCs/>
                <w:sz w:val="20"/>
                <w:szCs w:val="20"/>
              </w:rPr>
            </w:pPr>
            <w:r w:rsidRPr="00C63E8D">
              <w:rPr>
                <w:rFonts w:eastAsia="Times New Roman"/>
                <w:b/>
                <w:i/>
                <w:iCs/>
                <w:sz w:val="20"/>
                <w:szCs w:val="20"/>
              </w:rPr>
              <w:t>RPp</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FD520" w14:textId="77777777" w:rsidR="00C63E8D" w:rsidRPr="00C63E8D" w:rsidRDefault="00C63E8D" w:rsidP="005F1A1A">
            <w:pPr>
              <w:jc w:val="center"/>
              <w:rPr>
                <w:rFonts w:eastAsia="Times New Roman"/>
                <w:b/>
                <w:i/>
                <w:iCs/>
                <w:sz w:val="20"/>
                <w:szCs w:val="20"/>
              </w:rPr>
            </w:pPr>
            <w:r w:rsidRPr="00C63E8D">
              <w:rPr>
                <w:rFonts w:eastAsia="Times New Roman"/>
                <w:b/>
                <w:i/>
                <w:iCs/>
                <w:sz w:val="20"/>
                <w:szCs w:val="20"/>
              </w:rPr>
              <w:t>RPa</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DFBB" w14:textId="77777777" w:rsidR="00C63E8D" w:rsidRPr="00C63E8D" w:rsidRDefault="00C63E8D" w:rsidP="005F1A1A">
            <w:pPr>
              <w:jc w:val="center"/>
              <w:rPr>
                <w:rFonts w:eastAsia="Times New Roman"/>
                <w:b/>
                <w:i/>
                <w:iCs/>
                <w:sz w:val="20"/>
                <w:szCs w:val="20"/>
              </w:rPr>
            </w:pPr>
            <w:r w:rsidRPr="00C63E8D">
              <w:rPr>
                <w:rFonts w:eastAsia="Times New Roman"/>
                <w:b/>
                <w:i/>
                <w:iCs/>
                <w:sz w:val="20"/>
                <w:szCs w:val="20"/>
              </w:rPr>
              <w:t>IGp</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B7C4" w14:textId="77777777" w:rsidR="00C63E8D" w:rsidRPr="00C63E8D" w:rsidRDefault="00C63E8D" w:rsidP="005F1A1A">
            <w:pPr>
              <w:jc w:val="center"/>
              <w:rPr>
                <w:rFonts w:eastAsia="Times New Roman"/>
                <w:b/>
                <w:i/>
                <w:iCs/>
                <w:sz w:val="20"/>
                <w:szCs w:val="20"/>
              </w:rPr>
            </w:pPr>
            <w:r w:rsidRPr="00C63E8D">
              <w:rPr>
                <w:rFonts w:eastAsia="Times New Roman"/>
                <w:b/>
                <w:i/>
                <w:iCs/>
                <w:sz w:val="20"/>
                <w:szCs w:val="20"/>
              </w:rPr>
              <w:t>IGa</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A1D6" w14:textId="77777777" w:rsidR="00C63E8D" w:rsidRPr="00C63E8D" w:rsidRDefault="00C63E8D" w:rsidP="005F1A1A">
            <w:pPr>
              <w:jc w:val="center"/>
              <w:rPr>
                <w:rFonts w:eastAsia="Times New Roman"/>
                <w:b/>
                <w:i/>
                <w:iCs/>
                <w:sz w:val="20"/>
                <w:szCs w:val="20"/>
              </w:rPr>
            </w:pPr>
            <w:r w:rsidRPr="00C63E8D">
              <w:rPr>
                <w:rFonts w:eastAsia="Times New Roman"/>
                <w:b/>
                <w:i/>
                <w:iCs/>
                <w:sz w:val="20"/>
                <w:szCs w:val="20"/>
              </w:rPr>
              <w:t>GS</w:t>
            </w:r>
          </w:p>
        </w:tc>
      </w:tr>
      <w:tr w:rsidR="00C63E8D" w:rsidRPr="00C63E8D" w14:paraId="6D6E2678" w14:textId="77777777" w:rsidTr="005F1A1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8515" w14:textId="77777777" w:rsidR="00C63E8D" w:rsidRPr="00C63E8D" w:rsidRDefault="00C63E8D" w:rsidP="005F1A1A">
            <w:pPr>
              <w:jc w:val="center"/>
              <w:rPr>
                <w:rFonts w:eastAsia="Times New Roman"/>
                <w:b/>
                <w:i/>
                <w:sz w:val="20"/>
                <w:szCs w:val="20"/>
              </w:rPr>
            </w:pPr>
            <w:r w:rsidRPr="00C63E8D">
              <w:rPr>
                <w:rFonts w:eastAsia="Times New Roman"/>
                <w:b/>
                <w:i/>
                <w:sz w:val="20"/>
                <w:szCs w:val="20"/>
              </w:rPr>
              <w:t>RPp</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368B" w14:textId="77777777" w:rsidR="00C63E8D" w:rsidRPr="00C63E8D" w:rsidRDefault="00C63E8D" w:rsidP="005F1A1A">
            <w:pPr>
              <w:jc w:val="center"/>
              <w:rPr>
                <w:rFonts w:eastAsia="Times New Roman"/>
                <w:sz w:val="20"/>
                <w:szCs w:val="20"/>
              </w:rPr>
            </w:pPr>
            <w:r w:rsidRPr="00C63E8D">
              <w:rPr>
                <w:rFonts w:eastAsia="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4A03"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34ED"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27C9"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32FF" w14:textId="77777777" w:rsidR="00C63E8D" w:rsidRPr="00C63E8D" w:rsidRDefault="00C63E8D" w:rsidP="005F1A1A">
            <w:pPr>
              <w:jc w:val="center"/>
              <w:rPr>
                <w:rFonts w:eastAsia="Times New Roman"/>
                <w:sz w:val="20"/>
                <w:szCs w:val="20"/>
              </w:rPr>
            </w:pPr>
          </w:p>
        </w:tc>
      </w:tr>
      <w:tr w:rsidR="00C63E8D" w:rsidRPr="00C63E8D" w14:paraId="6E4F8F48" w14:textId="77777777" w:rsidTr="005F1A1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AE86" w14:textId="77777777" w:rsidR="00C63E8D" w:rsidRPr="00C63E8D" w:rsidRDefault="00C63E8D" w:rsidP="005F1A1A">
            <w:pPr>
              <w:jc w:val="center"/>
              <w:rPr>
                <w:rFonts w:eastAsia="Times New Roman"/>
                <w:b/>
                <w:i/>
                <w:sz w:val="20"/>
                <w:szCs w:val="20"/>
              </w:rPr>
            </w:pPr>
            <w:r w:rsidRPr="00C63E8D">
              <w:rPr>
                <w:rFonts w:eastAsia="Times New Roman"/>
                <w:b/>
                <w:i/>
                <w:sz w:val="20"/>
                <w:szCs w:val="20"/>
              </w:rPr>
              <w:t>RPa</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17EF" w14:textId="77777777" w:rsidR="00C63E8D" w:rsidRPr="00C63E8D" w:rsidRDefault="00C63E8D" w:rsidP="005F1A1A">
            <w:pPr>
              <w:jc w:val="center"/>
              <w:rPr>
                <w:rFonts w:eastAsia="Times New Roman"/>
                <w:sz w:val="20"/>
                <w:szCs w:val="20"/>
              </w:rPr>
            </w:pPr>
            <w:r w:rsidRPr="00C63E8D">
              <w:rPr>
                <w:rFonts w:eastAsia="Times New Roman"/>
                <w:sz w:val="20"/>
                <w:szCs w:val="20"/>
              </w:rPr>
              <w:t>0,8308</w:t>
            </w:r>
          </w:p>
          <w:p w14:paraId="10FCE9B8" w14:textId="77777777" w:rsidR="00C63E8D" w:rsidRPr="00C63E8D" w:rsidRDefault="00C63E8D" w:rsidP="005F1A1A">
            <w:pPr>
              <w:jc w:val="center"/>
              <w:rPr>
                <w:rFonts w:eastAsia="Times New Roman"/>
                <w:sz w:val="20"/>
                <w:szCs w:val="20"/>
              </w:rPr>
            </w:pPr>
            <w:r w:rsidRPr="00C63E8D">
              <w:rPr>
                <w:rFonts w:eastAsia="Times New Roman"/>
                <w:sz w:val="20"/>
                <w:szCs w:val="20"/>
              </w:rPr>
              <w:t>(4,611</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ECAB" w14:textId="77777777" w:rsidR="00C63E8D" w:rsidRPr="00C63E8D" w:rsidRDefault="00C63E8D" w:rsidP="005F1A1A">
            <w:pPr>
              <w:jc w:val="center"/>
              <w:rPr>
                <w:rFonts w:eastAsia="Times New Roman"/>
                <w:sz w:val="20"/>
                <w:szCs w:val="20"/>
              </w:rPr>
            </w:pPr>
            <w:r w:rsidRPr="00C63E8D">
              <w:rPr>
                <w:rFonts w:eastAsia="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A3822"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84C4A"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87DB" w14:textId="77777777" w:rsidR="00C63E8D" w:rsidRPr="00C63E8D" w:rsidRDefault="00C63E8D" w:rsidP="005F1A1A">
            <w:pPr>
              <w:jc w:val="center"/>
              <w:rPr>
                <w:rFonts w:eastAsia="Times New Roman"/>
                <w:sz w:val="20"/>
                <w:szCs w:val="20"/>
              </w:rPr>
            </w:pPr>
          </w:p>
        </w:tc>
      </w:tr>
      <w:tr w:rsidR="00C63E8D" w:rsidRPr="00C63E8D" w14:paraId="151EC47A" w14:textId="77777777" w:rsidTr="005F1A1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BC3B" w14:textId="77777777" w:rsidR="00C63E8D" w:rsidRPr="00C63E8D" w:rsidRDefault="00C63E8D" w:rsidP="005F1A1A">
            <w:pPr>
              <w:jc w:val="center"/>
              <w:rPr>
                <w:rFonts w:eastAsia="Times New Roman"/>
                <w:b/>
                <w:i/>
                <w:sz w:val="20"/>
                <w:szCs w:val="20"/>
              </w:rPr>
            </w:pPr>
            <w:r w:rsidRPr="00C63E8D">
              <w:rPr>
                <w:rFonts w:eastAsia="Times New Roman"/>
                <w:b/>
                <w:i/>
                <w:sz w:val="20"/>
                <w:szCs w:val="20"/>
              </w:rPr>
              <w:t>IGp</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260A" w14:textId="77777777" w:rsidR="00C63E8D" w:rsidRPr="00C63E8D" w:rsidRDefault="00C63E8D" w:rsidP="005F1A1A">
            <w:pPr>
              <w:jc w:val="center"/>
              <w:rPr>
                <w:rFonts w:eastAsia="Times New Roman"/>
                <w:sz w:val="20"/>
                <w:szCs w:val="20"/>
              </w:rPr>
            </w:pPr>
            <w:r w:rsidRPr="00C63E8D">
              <w:rPr>
                <w:rFonts w:eastAsia="Times New Roman"/>
                <w:sz w:val="20"/>
                <w:szCs w:val="20"/>
              </w:rPr>
              <w:t>0,8839</w:t>
            </w:r>
          </w:p>
          <w:p w14:paraId="28B1F1D3" w14:textId="77777777" w:rsidR="00C63E8D" w:rsidRPr="00C63E8D" w:rsidRDefault="00C63E8D" w:rsidP="005F1A1A">
            <w:pPr>
              <w:jc w:val="center"/>
              <w:rPr>
                <w:rFonts w:eastAsia="Times New Roman"/>
                <w:sz w:val="20"/>
                <w:szCs w:val="20"/>
              </w:rPr>
            </w:pPr>
            <w:r w:rsidRPr="00C63E8D">
              <w:rPr>
                <w:rFonts w:eastAsia="Times New Roman"/>
                <w:sz w:val="20"/>
                <w:szCs w:val="20"/>
              </w:rPr>
              <w:t>(5,396</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FB3A" w14:textId="77777777" w:rsidR="00C63E8D" w:rsidRPr="00C63E8D" w:rsidRDefault="00C63E8D" w:rsidP="005F1A1A">
            <w:pPr>
              <w:jc w:val="center"/>
              <w:rPr>
                <w:rFonts w:eastAsia="Times New Roman"/>
                <w:sz w:val="20"/>
                <w:szCs w:val="20"/>
              </w:rPr>
            </w:pPr>
            <w:r w:rsidRPr="00C63E8D">
              <w:rPr>
                <w:rFonts w:eastAsia="Times New Roman"/>
                <w:sz w:val="20"/>
                <w:szCs w:val="20"/>
              </w:rPr>
              <w:t>0,7414</w:t>
            </w:r>
          </w:p>
          <w:p w14:paraId="3430B62A" w14:textId="77777777" w:rsidR="00C63E8D" w:rsidRPr="00C63E8D" w:rsidRDefault="00C63E8D" w:rsidP="005F1A1A">
            <w:pPr>
              <w:jc w:val="center"/>
              <w:rPr>
                <w:rFonts w:eastAsia="Times New Roman"/>
                <w:sz w:val="20"/>
                <w:szCs w:val="20"/>
              </w:rPr>
            </w:pPr>
            <w:r w:rsidRPr="00C63E8D">
              <w:rPr>
                <w:rFonts w:eastAsia="Times New Roman"/>
                <w:sz w:val="20"/>
                <w:szCs w:val="20"/>
              </w:rPr>
              <w:t>(3,693</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37C8" w14:textId="77777777" w:rsidR="00C63E8D" w:rsidRPr="00C63E8D" w:rsidRDefault="00C63E8D" w:rsidP="005F1A1A">
            <w:pPr>
              <w:jc w:val="center"/>
              <w:rPr>
                <w:rFonts w:eastAsia="Times New Roman"/>
                <w:sz w:val="20"/>
                <w:szCs w:val="20"/>
              </w:rPr>
            </w:pPr>
            <w:r w:rsidRPr="00C63E8D">
              <w:rPr>
                <w:rFonts w:eastAsia="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DDB49" w14:textId="77777777" w:rsidR="00C63E8D" w:rsidRPr="00C63E8D" w:rsidRDefault="00C63E8D" w:rsidP="005F1A1A">
            <w:pPr>
              <w:jc w:val="center"/>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3B03" w14:textId="77777777" w:rsidR="00C63E8D" w:rsidRPr="00C63E8D" w:rsidRDefault="00C63E8D" w:rsidP="005F1A1A">
            <w:pPr>
              <w:jc w:val="center"/>
              <w:rPr>
                <w:rFonts w:eastAsia="Times New Roman"/>
                <w:sz w:val="20"/>
                <w:szCs w:val="20"/>
              </w:rPr>
            </w:pPr>
          </w:p>
        </w:tc>
      </w:tr>
      <w:tr w:rsidR="00C63E8D" w:rsidRPr="00C63E8D" w14:paraId="1B849137" w14:textId="77777777" w:rsidTr="005F1A1A">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2801" w14:textId="77777777" w:rsidR="00C63E8D" w:rsidRPr="00C63E8D" w:rsidRDefault="00C63E8D" w:rsidP="005F1A1A">
            <w:pPr>
              <w:jc w:val="center"/>
              <w:rPr>
                <w:rFonts w:eastAsia="Times New Roman"/>
                <w:b/>
                <w:i/>
                <w:sz w:val="20"/>
                <w:szCs w:val="20"/>
              </w:rPr>
            </w:pPr>
            <w:r w:rsidRPr="00C63E8D">
              <w:rPr>
                <w:rFonts w:eastAsia="Times New Roman"/>
                <w:b/>
                <w:i/>
                <w:sz w:val="20"/>
                <w:szCs w:val="20"/>
              </w:rPr>
              <w:t>IGa</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843C" w14:textId="77777777" w:rsidR="00C63E8D" w:rsidRPr="00C63E8D" w:rsidRDefault="00C63E8D" w:rsidP="005F1A1A">
            <w:pPr>
              <w:jc w:val="center"/>
              <w:rPr>
                <w:rFonts w:eastAsia="Times New Roman"/>
                <w:sz w:val="20"/>
                <w:szCs w:val="20"/>
              </w:rPr>
            </w:pPr>
            <w:r w:rsidRPr="00C63E8D">
              <w:rPr>
                <w:rFonts w:eastAsia="Times New Roman"/>
                <w:sz w:val="20"/>
                <w:szCs w:val="20"/>
              </w:rPr>
              <w:t>0,5501</w:t>
            </w:r>
          </w:p>
          <w:p w14:paraId="0C60AB6C" w14:textId="77777777" w:rsidR="00C63E8D" w:rsidRPr="00C63E8D" w:rsidRDefault="00C63E8D" w:rsidP="005F1A1A">
            <w:pPr>
              <w:jc w:val="center"/>
              <w:rPr>
                <w:rFonts w:eastAsia="Times New Roman"/>
                <w:sz w:val="20"/>
                <w:szCs w:val="20"/>
              </w:rPr>
            </w:pPr>
            <w:r w:rsidRPr="00C63E8D">
              <w:rPr>
                <w:rFonts w:eastAsia="Times New Roman"/>
                <w:sz w:val="20"/>
                <w:szCs w:val="20"/>
              </w:rPr>
              <w:t>(2,396</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CF57E" w14:textId="77777777" w:rsidR="00C63E8D" w:rsidRPr="00C63E8D" w:rsidRDefault="00C63E8D" w:rsidP="005F1A1A">
            <w:pPr>
              <w:jc w:val="center"/>
              <w:rPr>
                <w:rFonts w:eastAsia="Times New Roman"/>
                <w:sz w:val="20"/>
                <w:szCs w:val="20"/>
              </w:rPr>
            </w:pPr>
            <w:r w:rsidRPr="00C63E8D">
              <w:rPr>
                <w:rFonts w:eastAsia="Times New Roman"/>
                <w:sz w:val="20"/>
                <w:szCs w:val="20"/>
              </w:rPr>
              <w:t>0,6179</w:t>
            </w:r>
          </w:p>
          <w:p w14:paraId="6782E9DE" w14:textId="77777777" w:rsidR="00C63E8D" w:rsidRPr="00C63E8D" w:rsidRDefault="00C63E8D" w:rsidP="005F1A1A">
            <w:pPr>
              <w:jc w:val="center"/>
              <w:rPr>
                <w:rFonts w:eastAsia="Times New Roman"/>
                <w:sz w:val="20"/>
                <w:szCs w:val="20"/>
              </w:rPr>
            </w:pPr>
            <w:r w:rsidRPr="00C63E8D">
              <w:rPr>
                <w:rFonts w:eastAsia="Times New Roman"/>
                <w:sz w:val="20"/>
                <w:szCs w:val="20"/>
              </w:rPr>
              <w:t>(2,795</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2D6AC" w14:textId="77777777" w:rsidR="00C63E8D" w:rsidRPr="00C63E8D" w:rsidRDefault="00C63E8D" w:rsidP="005F1A1A">
            <w:pPr>
              <w:jc w:val="center"/>
              <w:rPr>
                <w:rFonts w:eastAsia="Times New Roman"/>
                <w:sz w:val="20"/>
                <w:szCs w:val="20"/>
              </w:rPr>
            </w:pPr>
            <w:r w:rsidRPr="00C63E8D">
              <w:rPr>
                <w:rFonts w:eastAsia="Times New Roman"/>
                <w:sz w:val="20"/>
                <w:szCs w:val="20"/>
              </w:rPr>
              <w:t>0,5630</w:t>
            </w:r>
          </w:p>
          <w:p w14:paraId="190242FA" w14:textId="77777777" w:rsidR="00C63E8D" w:rsidRPr="00C63E8D" w:rsidRDefault="00C63E8D" w:rsidP="005F1A1A">
            <w:pPr>
              <w:jc w:val="center"/>
              <w:rPr>
                <w:rFonts w:eastAsia="Times New Roman"/>
                <w:sz w:val="20"/>
                <w:szCs w:val="20"/>
              </w:rPr>
            </w:pPr>
            <w:r w:rsidRPr="00C63E8D">
              <w:rPr>
                <w:rFonts w:eastAsia="Times New Roman"/>
                <w:sz w:val="20"/>
                <w:szCs w:val="20"/>
              </w:rPr>
              <w:t>(2,468</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3708" w14:textId="77777777" w:rsidR="00C63E8D" w:rsidRPr="00C63E8D" w:rsidRDefault="00C63E8D" w:rsidP="005F1A1A">
            <w:pPr>
              <w:jc w:val="center"/>
              <w:rPr>
                <w:rFonts w:eastAsia="Times New Roman"/>
                <w:sz w:val="20"/>
                <w:szCs w:val="20"/>
              </w:rPr>
            </w:pPr>
            <w:r w:rsidRPr="00C63E8D">
              <w:rPr>
                <w:rFonts w:eastAsia="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E8F2" w14:textId="77777777" w:rsidR="00C63E8D" w:rsidRPr="00C63E8D" w:rsidRDefault="00C63E8D" w:rsidP="005F1A1A">
            <w:pPr>
              <w:jc w:val="center"/>
              <w:rPr>
                <w:rFonts w:eastAsia="Times New Roman"/>
                <w:sz w:val="20"/>
                <w:szCs w:val="20"/>
              </w:rPr>
            </w:pPr>
          </w:p>
        </w:tc>
      </w:tr>
      <w:tr w:rsidR="00C63E8D" w:rsidRPr="00C63E8D" w14:paraId="3A316045" w14:textId="77777777" w:rsidTr="005F1A1A">
        <w:trPr>
          <w:trHeight w:val="31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A3DA" w14:textId="77777777" w:rsidR="00C63E8D" w:rsidRPr="00C63E8D" w:rsidRDefault="00C63E8D" w:rsidP="005F1A1A">
            <w:pPr>
              <w:jc w:val="center"/>
              <w:rPr>
                <w:rFonts w:eastAsia="Times New Roman"/>
                <w:b/>
                <w:i/>
                <w:sz w:val="20"/>
                <w:szCs w:val="20"/>
              </w:rPr>
            </w:pPr>
            <w:r w:rsidRPr="00C63E8D">
              <w:rPr>
                <w:rFonts w:eastAsia="Times New Roman"/>
                <w:b/>
                <w:i/>
                <w:sz w:val="20"/>
                <w:szCs w:val="20"/>
              </w:rPr>
              <w:t>GS</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1B6DD" w14:textId="77777777" w:rsidR="00C63E8D" w:rsidRPr="00C63E8D" w:rsidRDefault="00C63E8D" w:rsidP="005F1A1A">
            <w:pPr>
              <w:jc w:val="center"/>
              <w:rPr>
                <w:rFonts w:eastAsia="Times New Roman"/>
                <w:sz w:val="20"/>
                <w:szCs w:val="20"/>
              </w:rPr>
            </w:pPr>
            <w:r w:rsidRPr="00C63E8D">
              <w:rPr>
                <w:rFonts w:eastAsia="Times New Roman"/>
                <w:sz w:val="20"/>
                <w:szCs w:val="20"/>
              </w:rPr>
              <w:t>-0,5273</w:t>
            </w:r>
          </w:p>
          <w:p w14:paraId="20811FDE" w14:textId="77777777" w:rsidR="00C63E8D" w:rsidRPr="00C63E8D" w:rsidRDefault="00C63E8D" w:rsidP="005F1A1A">
            <w:pPr>
              <w:jc w:val="center"/>
              <w:rPr>
                <w:rFonts w:eastAsia="Times New Roman"/>
                <w:sz w:val="20"/>
                <w:szCs w:val="20"/>
              </w:rPr>
            </w:pPr>
            <w:r w:rsidRPr="00C63E8D">
              <w:rPr>
                <w:rFonts w:eastAsia="Times New Roman"/>
                <w:sz w:val="20"/>
                <w:szCs w:val="20"/>
              </w:rPr>
              <w:t>(-2,271</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4A7D" w14:textId="77777777" w:rsidR="00C63E8D" w:rsidRPr="00C63E8D" w:rsidRDefault="00C63E8D" w:rsidP="005F1A1A">
            <w:pPr>
              <w:jc w:val="center"/>
              <w:rPr>
                <w:rFonts w:eastAsia="Times New Roman"/>
                <w:sz w:val="20"/>
                <w:szCs w:val="20"/>
              </w:rPr>
            </w:pPr>
            <w:r w:rsidRPr="00C63E8D">
              <w:rPr>
                <w:rFonts w:eastAsia="Times New Roman"/>
                <w:sz w:val="20"/>
                <w:szCs w:val="20"/>
              </w:rPr>
              <w:t>-0,5529</w:t>
            </w:r>
          </w:p>
          <w:p w14:paraId="4A2651C9" w14:textId="77777777" w:rsidR="00C63E8D" w:rsidRPr="00C63E8D" w:rsidRDefault="00C63E8D" w:rsidP="005F1A1A">
            <w:pPr>
              <w:jc w:val="center"/>
              <w:rPr>
                <w:rFonts w:eastAsia="Times New Roman"/>
                <w:sz w:val="20"/>
                <w:szCs w:val="20"/>
              </w:rPr>
            </w:pPr>
            <w:r w:rsidRPr="00C63E8D">
              <w:rPr>
                <w:rFonts w:eastAsia="Times New Roman"/>
                <w:sz w:val="20"/>
                <w:szCs w:val="20"/>
              </w:rPr>
              <w:t>(-2,411</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6496" w14:textId="77777777" w:rsidR="00C63E8D" w:rsidRPr="00C63E8D" w:rsidRDefault="00C63E8D" w:rsidP="005F1A1A">
            <w:pPr>
              <w:jc w:val="center"/>
              <w:rPr>
                <w:rFonts w:eastAsia="Times New Roman"/>
                <w:sz w:val="20"/>
                <w:szCs w:val="20"/>
              </w:rPr>
            </w:pPr>
            <w:r w:rsidRPr="00C63E8D">
              <w:rPr>
                <w:rFonts w:eastAsia="Times New Roman"/>
                <w:sz w:val="20"/>
                <w:szCs w:val="20"/>
              </w:rPr>
              <w:t>-0,4657</w:t>
            </w:r>
          </w:p>
          <w:p w14:paraId="4B4B9CCB" w14:textId="77777777" w:rsidR="00C63E8D" w:rsidRPr="00C63E8D" w:rsidRDefault="00C63E8D" w:rsidP="005F1A1A">
            <w:pPr>
              <w:jc w:val="center"/>
              <w:rPr>
                <w:rFonts w:eastAsia="Times New Roman"/>
                <w:sz w:val="20"/>
                <w:szCs w:val="20"/>
              </w:rPr>
            </w:pPr>
            <w:r w:rsidRPr="00C63E8D">
              <w:rPr>
                <w:rFonts w:eastAsia="Times New Roman"/>
                <w:sz w:val="20"/>
                <w:szCs w:val="20"/>
              </w:rPr>
              <w:t>(-1,954</w:t>
            </w:r>
            <w:r w:rsidRPr="00C63E8D">
              <w:rPr>
                <w:rFonts w:eastAsia="Times New Roman"/>
                <w:sz w:val="20"/>
                <w:szCs w:val="20"/>
                <w:vertAlign w:val="superscript"/>
              </w:rPr>
              <w:t>*</w:t>
            </w:r>
            <w:r w:rsidRPr="00C63E8D">
              <w:rPr>
                <w:rFonts w:eastAsia="Times New Roman"/>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EA78" w14:textId="77777777" w:rsidR="00C63E8D" w:rsidRPr="00C63E8D" w:rsidRDefault="00C63E8D" w:rsidP="005F1A1A">
            <w:pPr>
              <w:jc w:val="center"/>
              <w:rPr>
                <w:rFonts w:eastAsia="Times New Roman"/>
                <w:sz w:val="20"/>
                <w:szCs w:val="20"/>
              </w:rPr>
            </w:pPr>
            <w:r w:rsidRPr="00C63E8D">
              <w:rPr>
                <w:rFonts w:eastAsia="Times New Roman"/>
                <w:sz w:val="20"/>
                <w:szCs w:val="20"/>
              </w:rPr>
              <w:t>-0,2308</w:t>
            </w:r>
          </w:p>
          <w:p w14:paraId="3991C573" w14:textId="77777777" w:rsidR="00C63E8D" w:rsidRPr="00C63E8D" w:rsidRDefault="00C63E8D" w:rsidP="005F1A1A">
            <w:pPr>
              <w:jc w:val="center"/>
              <w:rPr>
                <w:rFonts w:eastAsia="Times New Roman"/>
                <w:sz w:val="20"/>
                <w:szCs w:val="20"/>
              </w:rPr>
            </w:pPr>
            <w:r w:rsidRPr="00C63E8D">
              <w:rPr>
                <w:rFonts w:eastAsia="Times New Roman"/>
                <w:sz w:val="20"/>
                <w:szCs w:val="20"/>
              </w:rPr>
              <w:t>(-0,910)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AE09" w14:textId="77777777" w:rsidR="00C63E8D" w:rsidRPr="00C63E8D" w:rsidRDefault="00C63E8D" w:rsidP="005F1A1A">
            <w:pPr>
              <w:jc w:val="center"/>
              <w:rPr>
                <w:rFonts w:eastAsia="Times New Roman"/>
                <w:sz w:val="20"/>
                <w:szCs w:val="20"/>
              </w:rPr>
            </w:pPr>
            <w:r w:rsidRPr="00C63E8D">
              <w:rPr>
                <w:rFonts w:eastAsia="Times New Roman"/>
                <w:sz w:val="20"/>
                <w:szCs w:val="20"/>
              </w:rPr>
              <w:t>1</w:t>
            </w:r>
          </w:p>
        </w:tc>
      </w:tr>
    </w:tbl>
    <w:p w14:paraId="1346F81B" w14:textId="77777777" w:rsidR="00C63E8D" w:rsidRPr="00C63E8D" w:rsidRDefault="00C63E8D" w:rsidP="00C63E8D">
      <w:pPr>
        <w:ind w:left="567" w:hanging="567"/>
        <w:jc w:val="both"/>
        <w:rPr>
          <w:sz w:val="20"/>
          <w:szCs w:val="20"/>
        </w:rPr>
      </w:pPr>
      <w:r w:rsidRPr="00C63E8D">
        <w:rPr>
          <w:sz w:val="20"/>
          <w:szCs w:val="20"/>
        </w:rPr>
        <w:t xml:space="preserve">Nota: Entre paréntesis el valor del estadístico </w:t>
      </w:r>
      <w:r w:rsidRPr="00C63E8D">
        <w:rPr>
          <w:i/>
          <w:sz w:val="20"/>
          <w:szCs w:val="20"/>
        </w:rPr>
        <w:t>z</w:t>
      </w:r>
      <w:r w:rsidRPr="00C63E8D">
        <w:rPr>
          <w:sz w:val="20"/>
          <w:szCs w:val="20"/>
        </w:rPr>
        <w:t xml:space="preserve"> de prueba y con “***”, “**”, “*” se denota la significación estadística del coeficiente de correlación con un nivel de significación estadística del 1%, 5% y 10% respectivamente.</w:t>
      </w:r>
    </w:p>
    <w:p w14:paraId="24A8F0C3" w14:textId="73D2A5EC" w:rsidR="00C63E8D" w:rsidRPr="00C63E8D" w:rsidRDefault="00C63E8D" w:rsidP="00C63E8D">
      <w:pPr>
        <w:jc w:val="center"/>
        <w:rPr>
          <w:sz w:val="20"/>
          <w:szCs w:val="20"/>
        </w:rPr>
      </w:pPr>
      <w:r w:rsidRPr="00C63E8D">
        <w:rPr>
          <w:sz w:val="20"/>
          <w:szCs w:val="20"/>
        </w:rPr>
        <w:t>Fuente: Elaboración propia a partir de datos de Eurostat, 2018.</w:t>
      </w:r>
    </w:p>
    <w:p w14:paraId="0029313A" w14:textId="77777777" w:rsidR="00C63E8D" w:rsidRPr="00AB4DC6" w:rsidRDefault="00C63E8D" w:rsidP="00C63E8D">
      <w:pPr>
        <w:spacing w:after="240"/>
        <w:jc w:val="both"/>
        <w:rPr>
          <w:rFonts w:asciiTheme="majorHAnsi" w:hAnsiTheme="majorHAnsi"/>
          <w:sz w:val="20"/>
          <w:szCs w:val="20"/>
        </w:rPr>
      </w:pPr>
    </w:p>
    <w:p w14:paraId="1C526A59" w14:textId="77777777" w:rsidR="00C63E8D" w:rsidRPr="00C63E8D" w:rsidRDefault="00C63E8D" w:rsidP="00C63E8D">
      <w:pPr>
        <w:spacing w:after="240"/>
        <w:ind w:firstLine="567"/>
        <w:jc w:val="both"/>
        <w:rPr>
          <w:szCs w:val="24"/>
        </w:rPr>
      </w:pPr>
      <w:r w:rsidRPr="00C63E8D">
        <w:rPr>
          <w:szCs w:val="24"/>
        </w:rPr>
        <w:t>A partir de los datos de la Tabla 1 se miden los resultados conseguidos en políticas de reducción de los índices de vulnerabilidad en términos absolutos. La reducción absoluta del riesgo de pobreza (</w:t>
      </w:r>
      <w:r w:rsidRPr="00C63E8D">
        <w:rPr>
          <w:i/>
          <w:szCs w:val="24"/>
        </w:rPr>
        <w:t>RAP</w:t>
      </w:r>
      <w:r w:rsidRPr="00C63E8D">
        <w:rPr>
          <w:szCs w:val="24"/>
        </w:rPr>
        <w:t>) se expresa:</w:t>
      </w:r>
    </w:p>
    <w:p w14:paraId="20C697F3" w14:textId="211C7E26" w:rsidR="00C63E8D" w:rsidRPr="00C63E8D" w:rsidRDefault="00C63E8D" w:rsidP="0058113F">
      <w:pPr>
        <w:spacing w:after="240"/>
        <w:ind w:left="2160" w:firstLine="720"/>
        <w:jc w:val="both"/>
        <w:rPr>
          <w:szCs w:val="24"/>
        </w:rPr>
      </w:pPr>
      <m:oMath>
        <m:r>
          <w:rPr>
            <w:rFonts w:ascii="Cambria Math" w:hAnsi="Cambria Math"/>
            <w:szCs w:val="24"/>
          </w:rPr>
          <m:t>RAP=IPa-IPp</m:t>
        </m:r>
      </m:oMath>
      <w:r w:rsidRPr="00C63E8D">
        <w:rPr>
          <w:szCs w:val="24"/>
        </w:rPr>
        <w:t xml:space="preserve">                 </w:t>
      </w:r>
      <w:r w:rsidR="0058113F">
        <w:rPr>
          <w:szCs w:val="24"/>
        </w:rPr>
        <w:tab/>
      </w:r>
      <w:r w:rsidR="0058113F">
        <w:rPr>
          <w:szCs w:val="24"/>
        </w:rPr>
        <w:tab/>
      </w:r>
      <w:r w:rsidR="0058113F">
        <w:rPr>
          <w:szCs w:val="24"/>
        </w:rPr>
        <w:tab/>
      </w:r>
      <w:r w:rsidR="0058113F">
        <w:rPr>
          <w:szCs w:val="24"/>
        </w:rPr>
        <w:tab/>
      </w:r>
      <w:r w:rsidR="0058113F">
        <w:rPr>
          <w:szCs w:val="24"/>
        </w:rPr>
        <w:tab/>
        <w:t xml:space="preserve"> </w:t>
      </w:r>
      <w:r w:rsidRPr="00C63E8D">
        <w:rPr>
          <w:szCs w:val="24"/>
        </w:rPr>
        <w:t xml:space="preserve"> </w:t>
      </w:r>
      <w:r w:rsidR="00440419">
        <w:rPr>
          <w:szCs w:val="24"/>
        </w:rPr>
        <w:t>(1)</w:t>
      </w:r>
    </w:p>
    <w:p w14:paraId="7DC000EB" w14:textId="77777777" w:rsidR="00C63E8D" w:rsidRPr="00C63E8D" w:rsidRDefault="00C63E8D" w:rsidP="00C63E8D">
      <w:pPr>
        <w:spacing w:after="240"/>
        <w:ind w:firstLine="567"/>
        <w:jc w:val="both"/>
        <w:rPr>
          <w:szCs w:val="24"/>
        </w:rPr>
      </w:pPr>
      <w:r w:rsidRPr="00C63E8D">
        <w:rPr>
          <w:szCs w:val="24"/>
        </w:rPr>
        <w:t>De manera análoga se mide la reducción de la desigualdad en el reparto de la renta en términos absolutos (</w:t>
      </w:r>
      <w:r w:rsidRPr="00C63E8D">
        <w:rPr>
          <w:i/>
          <w:szCs w:val="24"/>
        </w:rPr>
        <w:t>RAG</w:t>
      </w:r>
      <w:r w:rsidRPr="00C63E8D">
        <w:rPr>
          <w:szCs w:val="24"/>
        </w:rPr>
        <w:t>):</w:t>
      </w:r>
    </w:p>
    <w:p w14:paraId="49F027B0" w14:textId="168EA3FD" w:rsidR="00C63E8D" w:rsidRPr="00C63E8D" w:rsidRDefault="00C63E8D" w:rsidP="0058113F">
      <w:pPr>
        <w:spacing w:after="240"/>
        <w:ind w:left="2160" w:firstLine="720"/>
        <w:jc w:val="both"/>
        <w:rPr>
          <w:szCs w:val="24"/>
        </w:rPr>
      </w:pPr>
      <m:oMath>
        <m:r>
          <w:rPr>
            <w:rFonts w:ascii="Cambria Math" w:hAnsi="Cambria Math"/>
            <w:szCs w:val="24"/>
          </w:rPr>
          <m:t>RAG=IGa-IGp</m:t>
        </m:r>
      </m:oMath>
      <w:r w:rsidRPr="00C63E8D">
        <w:rPr>
          <w:szCs w:val="24"/>
        </w:rPr>
        <w:t xml:space="preserve">                </w:t>
      </w:r>
      <w:r w:rsidR="0058113F">
        <w:rPr>
          <w:szCs w:val="24"/>
        </w:rPr>
        <w:tab/>
      </w:r>
      <w:r w:rsidR="0058113F">
        <w:rPr>
          <w:szCs w:val="24"/>
        </w:rPr>
        <w:tab/>
      </w:r>
      <w:r w:rsidR="0058113F">
        <w:rPr>
          <w:szCs w:val="24"/>
        </w:rPr>
        <w:tab/>
      </w:r>
      <w:r w:rsidR="0058113F">
        <w:rPr>
          <w:szCs w:val="24"/>
        </w:rPr>
        <w:tab/>
      </w:r>
      <w:r w:rsidR="0058113F">
        <w:rPr>
          <w:szCs w:val="24"/>
        </w:rPr>
        <w:tab/>
        <w:t xml:space="preserve"> </w:t>
      </w:r>
      <w:r w:rsidR="00440419">
        <w:rPr>
          <w:szCs w:val="24"/>
        </w:rPr>
        <w:t xml:space="preserve"> (</w:t>
      </w:r>
      <w:r w:rsidRPr="00C63E8D">
        <w:rPr>
          <w:szCs w:val="24"/>
        </w:rPr>
        <w:t>2</w:t>
      </w:r>
      <w:r w:rsidR="00440419">
        <w:rPr>
          <w:szCs w:val="24"/>
        </w:rPr>
        <w:t>)</w:t>
      </w:r>
    </w:p>
    <w:p w14:paraId="3FD7E558" w14:textId="254382FE" w:rsidR="00C63E8D" w:rsidRDefault="00C63E8D" w:rsidP="00C63E8D">
      <w:pPr>
        <w:spacing w:after="240"/>
        <w:ind w:firstLine="567"/>
        <w:jc w:val="both"/>
        <w:rPr>
          <w:szCs w:val="24"/>
        </w:rPr>
      </w:pPr>
      <w:r w:rsidRPr="00C63E8D">
        <w:rPr>
          <w:szCs w:val="24"/>
        </w:rPr>
        <w:t xml:space="preserve">La Tabla 3 recoge la posición (rango) que ocupa cada país de EU15 en cuanto a </w:t>
      </w:r>
      <w:r w:rsidRPr="00C63E8D">
        <w:rPr>
          <w:i/>
          <w:szCs w:val="24"/>
        </w:rPr>
        <w:t>RAP</w:t>
      </w:r>
      <w:r w:rsidRPr="00C63E8D">
        <w:rPr>
          <w:szCs w:val="24"/>
        </w:rPr>
        <w:t xml:space="preserve"> y a </w:t>
      </w:r>
      <w:r w:rsidRPr="00C63E8D">
        <w:rPr>
          <w:i/>
          <w:szCs w:val="24"/>
        </w:rPr>
        <w:t>RAG</w:t>
      </w:r>
      <w:r w:rsidRPr="00C63E8D">
        <w:rPr>
          <w:szCs w:val="24"/>
        </w:rPr>
        <w:t xml:space="preserve">. Aquí se evalúa únicamente el resultado final del </w:t>
      </w:r>
      <w:r w:rsidRPr="00C63E8D">
        <w:rPr>
          <w:i/>
          <w:szCs w:val="24"/>
        </w:rPr>
        <w:t>GS</w:t>
      </w:r>
      <w:r w:rsidRPr="00C63E8D">
        <w:rPr>
          <w:szCs w:val="24"/>
        </w:rPr>
        <w:t xml:space="preserve"> en la reducción de la pobreza y la desigualdad, sin ponderar el </w:t>
      </w:r>
      <w:r w:rsidRPr="00C63E8D">
        <w:rPr>
          <w:i/>
          <w:szCs w:val="24"/>
        </w:rPr>
        <w:t>GS</w:t>
      </w:r>
      <w:r w:rsidRPr="00C63E8D">
        <w:rPr>
          <w:szCs w:val="24"/>
        </w:rPr>
        <w:t xml:space="preserve"> ni la situación de los indicadores antes de ejecutar el mismo. Los rangos correspondientes a </w:t>
      </w:r>
      <w:r w:rsidRPr="00C63E8D">
        <w:rPr>
          <w:i/>
          <w:szCs w:val="24"/>
        </w:rPr>
        <w:t>RAP</w:t>
      </w:r>
      <w:r w:rsidRPr="00C63E8D">
        <w:rPr>
          <w:szCs w:val="24"/>
        </w:rPr>
        <w:t xml:space="preserve"> y </w:t>
      </w:r>
      <w:r w:rsidRPr="00C63E8D">
        <w:rPr>
          <w:i/>
          <w:szCs w:val="24"/>
        </w:rPr>
        <w:t>RAG</w:t>
      </w:r>
      <w:r w:rsidRPr="00C63E8D">
        <w:rPr>
          <w:szCs w:val="24"/>
        </w:rPr>
        <w:t xml:space="preserve"> están correlacionados con baja intensidad; efectivamente, no generan jerarquías idénticas y, en cualquier caso, las correlaciones obtenidas (tanto de Pearson como de </w:t>
      </w:r>
      <w:r w:rsidRPr="00C63E8D">
        <w:rPr>
          <w:szCs w:val="24"/>
        </w:rPr>
        <w:lastRenderedPageBreak/>
        <w:t xml:space="preserve">Spearman) no son significativas. Así, mientras que hay países que tienen un rango destacable en </w:t>
      </w:r>
      <w:r w:rsidRPr="00C63E8D">
        <w:rPr>
          <w:i/>
          <w:szCs w:val="24"/>
        </w:rPr>
        <w:t>RAP</w:t>
      </w:r>
      <w:r w:rsidRPr="00C63E8D">
        <w:rPr>
          <w:szCs w:val="24"/>
        </w:rPr>
        <w:t xml:space="preserve"> y uno más discreto en </w:t>
      </w:r>
      <w:r w:rsidRPr="00C63E8D">
        <w:rPr>
          <w:i/>
          <w:szCs w:val="24"/>
        </w:rPr>
        <w:t>RAG</w:t>
      </w:r>
      <w:r w:rsidRPr="00C63E8D">
        <w:rPr>
          <w:szCs w:val="24"/>
        </w:rPr>
        <w:t xml:space="preserve"> (Francia, Luxemburgo y Austria), otros, como Reino Unido, Alemania y Portugal presentan el comportamiento contrario. Finalmente, España o Italia tienen una jerarquía similar en ambos indicadores. Así pues, la correlación positiva pero no significativa de ambas variables, </w:t>
      </w:r>
      <w:r w:rsidRPr="00C63E8D">
        <w:rPr>
          <w:i/>
          <w:szCs w:val="24"/>
        </w:rPr>
        <w:t>RAP</w:t>
      </w:r>
      <w:r w:rsidRPr="00C63E8D">
        <w:rPr>
          <w:szCs w:val="24"/>
        </w:rPr>
        <w:t xml:space="preserve"> y </w:t>
      </w:r>
      <w:r w:rsidRPr="00C63E8D">
        <w:rPr>
          <w:i/>
          <w:szCs w:val="24"/>
        </w:rPr>
        <w:t>RAG</w:t>
      </w:r>
      <w:r w:rsidRPr="00C63E8D">
        <w:rPr>
          <w:szCs w:val="24"/>
        </w:rPr>
        <w:t xml:space="preserve">, ofrece la idea de cierta relación entre las </w:t>
      </w:r>
      <w:r w:rsidR="0058113F" w:rsidRPr="00C63E8D">
        <w:rPr>
          <w:szCs w:val="24"/>
        </w:rPr>
        <w:t>magnitudes,</w:t>
      </w:r>
      <w:r w:rsidRPr="00C63E8D">
        <w:rPr>
          <w:szCs w:val="24"/>
        </w:rPr>
        <w:t xml:space="preserve"> pero en absoluto elevada.</w:t>
      </w:r>
    </w:p>
    <w:p w14:paraId="2A050578" w14:textId="77777777" w:rsidR="0058113F" w:rsidRPr="00C63E8D" w:rsidRDefault="0058113F" w:rsidP="00C63E8D">
      <w:pPr>
        <w:spacing w:after="240"/>
        <w:ind w:firstLine="567"/>
        <w:jc w:val="both"/>
        <w:rPr>
          <w:szCs w:val="24"/>
        </w:rPr>
      </w:pPr>
    </w:p>
    <w:p w14:paraId="057B2143" w14:textId="556E1511" w:rsidR="0058113F" w:rsidRPr="0058113F" w:rsidRDefault="0058113F" w:rsidP="0058113F">
      <w:pPr>
        <w:spacing w:after="240"/>
        <w:jc w:val="center"/>
        <w:rPr>
          <w:b/>
          <w:sz w:val="20"/>
          <w:szCs w:val="20"/>
        </w:rPr>
      </w:pPr>
      <w:r w:rsidRPr="0058113F">
        <w:rPr>
          <w:b/>
          <w:sz w:val="20"/>
          <w:szCs w:val="20"/>
        </w:rPr>
        <w:t>Tabla 3. Jerarquía de países según la reducción absoluta del riesgo de pobreza y del índice de Gini (</w:t>
      </w:r>
      <w:r w:rsidRPr="0058113F">
        <w:rPr>
          <w:b/>
          <w:i/>
          <w:sz w:val="20"/>
          <w:szCs w:val="20"/>
        </w:rPr>
        <w:t>RAP</w:t>
      </w:r>
      <w:r w:rsidRPr="0058113F">
        <w:rPr>
          <w:b/>
          <w:sz w:val="20"/>
          <w:szCs w:val="20"/>
        </w:rPr>
        <w:t xml:space="preserve"> y </w:t>
      </w:r>
      <w:r w:rsidRPr="0058113F">
        <w:rPr>
          <w:b/>
          <w:i/>
          <w:sz w:val="20"/>
          <w:szCs w:val="20"/>
        </w:rPr>
        <w:t>RAG</w:t>
      </w:r>
      <w:r w:rsidRPr="0058113F">
        <w:rPr>
          <w:b/>
          <w:sz w:val="20"/>
          <w:szCs w:val="20"/>
        </w:rPr>
        <w:t>) y rangos de la reducción, en el periodo 2011-2015.</w:t>
      </w:r>
    </w:p>
    <w:tbl>
      <w:tblPr>
        <w:tblW w:w="5000" w:type="pct"/>
        <w:tblCellMar>
          <w:left w:w="70" w:type="dxa"/>
          <w:right w:w="70" w:type="dxa"/>
        </w:tblCellMar>
        <w:tblLook w:val="04A0" w:firstRow="1" w:lastRow="0" w:firstColumn="1" w:lastColumn="0" w:noHBand="0" w:noVBand="1"/>
      </w:tblPr>
      <w:tblGrid>
        <w:gridCol w:w="1844"/>
        <w:gridCol w:w="1781"/>
        <w:gridCol w:w="1781"/>
        <w:gridCol w:w="1802"/>
        <w:gridCol w:w="1802"/>
      </w:tblGrid>
      <w:tr w:rsidR="0058113F" w:rsidRPr="0058113F" w14:paraId="739BA517" w14:textId="77777777" w:rsidTr="005F1A1A">
        <w:trPr>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7ABFA" w14:textId="77777777" w:rsidR="0058113F" w:rsidRPr="0058113F" w:rsidRDefault="0058113F" w:rsidP="0058113F">
            <w:pPr>
              <w:jc w:val="both"/>
              <w:rPr>
                <w:rFonts w:eastAsia="Times New Roman"/>
                <w:i/>
                <w:iCs/>
                <w:color w:val="000000"/>
                <w:sz w:val="20"/>
                <w:szCs w:val="20"/>
              </w:rPr>
            </w:pPr>
            <w:r w:rsidRPr="0058113F">
              <w:rPr>
                <w:rFonts w:eastAsia="Times New Roman"/>
                <w:i/>
                <w:iCs/>
                <w:color w:val="000000"/>
                <w:sz w:val="20"/>
                <w:szCs w:val="20"/>
              </w:rPr>
              <w:t> </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44D8F35" w14:textId="77777777" w:rsidR="0058113F" w:rsidRPr="0058113F" w:rsidRDefault="0058113F" w:rsidP="0058113F">
            <w:pPr>
              <w:jc w:val="center"/>
              <w:rPr>
                <w:rFonts w:eastAsia="Times New Roman"/>
                <w:i/>
                <w:iCs/>
                <w:color w:val="000000"/>
                <w:sz w:val="20"/>
                <w:szCs w:val="20"/>
              </w:rPr>
            </w:pPr>
            <w:r w:rsidRPr="0058113F">
              <w:rPr>
                <w:rFonts w:eastAsia="Times New Roman"/>
                <w:i/>
                <w:iCs/>
                <w:color w:val="000000"/>
                <w:sz w:val="20"/>
                <w:szCs w:val="20"/>
              </w:rPr>
              <w:t>RAP</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4E7BA19F" w14:textId="77777777" w:rsidR="0058113F" w:rsidRPr="0058113F" w:rsidRDefault="0058113F" w:rsidP="0058113F">
            <w:pPr>
              <w:jc w:val="center"/>
              <w:rPr>
                <w:rFonts w:eastAsia="Times New Roman"/>
                <w:i/>
                <w:iCs/>
                <w:color w:val="000000"/>
                <w:sz w:val="20"/>
                <w:szCs w:val="20"/>
              </w:rPr>
            </w:pPr>
            <w:r w:rsidRPr="0058113F">
              <w:rPr>
                <w:rFonts w:eastAsia="Times New Roman"/>
                <w:i/>
                <w:iCs/>
                <w:color w:val="000000"/>
                <w:sz w:val="20"/>
                <w:szCs w:val="20"/>
              </w:rPr>
              <w:t>RAG</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7F42188" w14:textId="77777777" w:rsidR="0058113F" w:rsidRPr="0058113F" w:rsidRDefault="0058113F" w:rsidP="0058113F">
            <w:pPr>
              <w:jc w:val="center"/>
              <w:rPr>
                <w:rFonts w:eastAsia="Times New Roman"/>
                <w:i/>
                <w:iCs/>
                <w:color w:val="000000"/>
                <w:sz w:val="20"/>
                <w:szCs w:val="20"/>
              </w:rPr>
            </w:pPr>
            <w:r w:rsidRPr="0058113F">
              <w:rPr>
                <w:rFonts w:eastAsia="Times New Roman"/>
                <w:i/>
                <w:iCs/>
                <w:color w:val="000000"/>
                <w:sz w:val="20"/>
                <w:szCs w:val="20"/>
              </w:rPr>
              <w:t>Rango RAP</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BB75743" w14:textId="77777777" w:rsidR="0058113F" w:rsidRPr="0058113F" w:rsidRDefault="0058113F" w:rsidP="0058113F">
            <w:pPr>
              <w:jc w:val="center"/>
              <w:rPr>
                <w:rFonts w:eastAsia="Times New Roman"/>
                <w:i/>
                <w:iCs/>
                <w:color w:val="000000"/>
                <w:sz w:val="20"/>
                <w:szCs w:val="20"/>
              </w:rPr>
            </w:pPr>
            <w:r w:rsidRPr="0058113F">
              <w:rPr>
                <w:rFonts w:eastAsia="Times New Roman"/>
                <w:i/>
                <w:iCs/>
                <w:color w:val="000000"/>
                <w:sz w:val="20"/>
                <w:szCs w:val="20"/>
              </w:rPr>
              <w:t>Rango RAG</w:t>
            </w:r>
          </w:p>
        </w:tc>
      </w:tr>
      <w:tr w:rsidR="0058113F" w:rsidRPr="0058113F" w14:paraId="1E48C7A3"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5195805"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Alemania</w:t>
            </w:r>
          </w:p>
        </w:tc>
        <w:tc>
          <w:tcPr>
            <w:tcW w:w="988" w:type="pct"/>
            <w:tcBorders>
              <w:top w:val="nil"/>
              <w:left w:val="nil"/>
              <w:bottom w:val="single" w:sz="4" w:space="0" w:color="auto"/>
              <w:right w:val="single" w:sz="4" w:space="0" w:color="auto"/>
            </w:tcBorders>
            <w:shd w:val="clear" w:color="auto" w:fill="auto"/>
            <w:vAlign w:val="center"/>
            <w:hideMark/>
          </w:tcPr>
          <w:p w14:paraId="28528A9D"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27,24</w:t>
            </w:r>
          </w:p>
        </w:tc>
        <w:tc>
          <w:tcPr>
            <w:tcW w:w="988" w:type="pct"/>
            <w:tcBorders>
              <w:top w:val="nil"/>
              <w:left w:val="nil"/>
              <w:bottom w:val="single" w:sz="4" w:space="0" w:color="auto"/>
              <w:right w:val="single" w:sz="4" w:space="0" w:color="auto"/>
            </w:tcBorders>
            <w:shd w:val="clear" w:color="auto" w:fill="auto"/>
            <w:vAlign w:val="center"/>
            <w:hideMark/>
          </w:tcPr>
          <w:p w14:paraId="019C77DD"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26,42</w:t>
            </w:r>
          </w:p>
        </w:tc>
        <w:tc>
          <w:tcPr>
            <w:tcW w:w="1000" w:type="pct"/>
            <w:tcBorders>
              <w:top w:val="nil"/>
              <w:left w:val="nil"/>
              <w:bottom w:val="single" w:sz="4" w:space="0" w:color="auto"/>
              <w:right w:val="single" w:sz="4" w:space="0" w:color="auto"/>
            </w:tcBorders>
            <w:shd w:val="clear" w:color="auto" w:fill="auto"/>
            <w:noWrap/>
            <w:vAlign w:val="center"/>
            <w:hideMark/>
          </w:tcPr>
          <w:p w14:paraId="6AAF100E"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12</w:t>
            </w:r>
          </w:p>
        </w:tc>
        <w:tc>
          <w:tcPr>
            <w:tcW w:w="1000" w:type="pct"/>
            <w:tcBorders>
              <w:top w:val="nil"/>
              <w:left w:val="nil"/>
              <w:bottom w:val="single" w:sz="4" w:space="0" w:color="auto"/>
              <w:right w:val="single" w:sz="4" w:space="0" w:color="auto"/>
            </w:tcBorders>
            <w:shd w:val="clear" w:color="auto" w:fill="auto"/>
            <w:noWrap/>
            <w:vAlign w:val="center"/>
            <w:hideMark/>
          </w:tcPr>
          <w:p w14:paraId="5907E0D2"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w:t>
            </w:r>
          </w:p>
        </w:tc>
      </w:tr>
      <w:tr w:rsidR="0058113F" w:rsidRPr="0058113F" w14:paraId="735613D6"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91F688B"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Austria</w:t>
            </w:r>
          </w:p>
        </w:tc>
        <w:tc>
          <w:tcPr>
            <w:tcW w:w="988" w:type="pct"/>
            <w:tcBorders>
              <w:top w:val="nil"/>
              <w:left w:val="nil"/>
              <w:bottom w:val="single" w:sz="4" w:space="0" w:color="auto"/>
              <w:right w:val="single" w:sz="4" w:space="0" w:color="auto"/>
            </w:tcBorders>
            <w:shd w:val="clear" w:color="auto" w:fill="auto"/>
            <w:vAlign w:val="center"/>
            <w:hideMark/>
          </w:tcPr>
          <w:p w14:paraId="74FA7C6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30,08</w:t>
            </w:r>
          </w:p>
        </w:tc>
        <w:tc>
          <w:tcPr>
            <w:tcW w:w="988" w:type="pct"/>
            <w:tcBorders>
              <w:top w:val="nil"/>
              <w:left w:val="nil"/>
              <w:bottom w:val="single" w:sz="4" w:space="0" w:color="auto"/>
              <w:right w:val="single" w:sz="4" w:space="0" w:color="auto"/>
            </w:tcBorders>
            <w:shd w:val="clear" w:color="auto" w:fill="auto"/>
            <w:vAlign w:val="center"/>
            <w:hideMark/>
          </w:tcPr>
          <w:p w14:paraId="48836870"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20,04</w:t>
            </w:r>
          </w:p>
        </w:tc>
        <w:tc>
          <w:tcPr>
            <w:tcW w:w="1000" w:type="pct"/>
            <w:tcBorders>
              <w:top w:val="nil"/>
              <w:left w:val="nil"/>
              <w:bottom w:val="single" w:sz="4" w:space="0" w:color="auto"/>
              <w:right w:val="single" w:sz="4" w:space="0" w:color="auto"/>
            </w:tcBorders>
            <w:shd w:val="clear" w:color="auto" w:fill="auto"/>
            <w:noWrap/>
            <w:vAlign w:val="center"/>
            <w:hideMark/>
          </w:tcPr>
          <w:p w14:paraId="744A759D"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4</w:t>
            </w:r>
          </w:p>
        </w:tc>
        <w:tc>
          <w:tcPr>
            <w:tcW w:w="1000" w:type="pct"/>
            <w:tcBorders>
              <w:top w:val="nil"/>
              <w:left w:val="nil"/>
              <w:bottom w:val="single" w:sz="4" w:space="0" w:color="auto"/>
              <w:right w:val="single" w:sz="4" w:space="0" w:color="auto"/>
            </w:tcBorders>
            <w:shd w:val="clear" w:color="auto" w:fill="auto"/>
            <w:noWrap/>
            <w:vAlign w:val="center"/>
            <w:hideMark/>
          </w:tcPr>
          <w:p w14:paraId="678EFB93"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11</w:t>
            </w:r>
          </w:p>
        </w:tc>
      </w:tr>
      <w:tr w:rsidR="0058113F" w:rsidRPr="0058113F" w14:paraId="32558862"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843E5FD"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Bélgica</w:t>
            </w:r>
          </w:p>
        </w:tc>
        <w:tc>
          <w:tcPr>
            <w:tcW w:w="988" w:type="pct"/>
            <w:tcBorders>
              <w:top w:val="nil"/>
              <w:left w:val="nil"/>
              <w:bottom w:val="single" w:sz="4" w:space="0" w:color="auto"/>
              <w:right w:val="single" w:sz="4" w:space="0" w:color="auto"/>
            </w:tcBorders>
            <w:shd w:val="clear" w:color="auto" w:fill="auto"/>
            <w:vAlign w:val="center"/>
            <w:hideMark/>
          </w:tcPr>
          <w:p w14:paraId="6FDAEE7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27,76</w:t>
            </w:r>
          </w:p>
        </w:tc>
        <w:tc>
          <w:tcPr>
            <w:tcW w:w="988" w:type="pct"/>
            <w:tcBorders>
              <w:top w:val="nil"/>
              <w:left w:val="nil"/>
              <w:bottom w:val="single" w:sz="4" w:space="0" w:color="auto"/>
              <w:right w:val="single" w:sz="4" w:space="0" w:color="auto"/>
            </w:tcBorders>
            <w:shd w:val="clear" w:color="auto" w:fill="auto"/>
            <w:vAlign w:val="center"/>
            <w:hideMark/>
          </w:tcPr>
          <w:p w14:paraId="3CFAC649"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21,68</w:t>
            </w:r>
          </w:p>
        </w:tc>
        <w:tc>
          <w:tcPr>
            <w:tcW w:w="1000" w:type="pct"/>
            <w:tcBorders>
              <w:top w:val="nil"/>
              <w:left w:val="nil"/>
              <w:bottom w:val="single" w:sz="4" w:space="0" w:color="auto"/>
              <w:right w:val="single" w:sz="4" w:space="0" w:color="auto"/>
            </w:tcBorders>
            <w:shd w:val="clear" w:color="auto" w:fill="auto"/>
            <w:noWrap/>
            <w:vAlign w:val="center"/>
            <w:hideMark/>
          </w:tcPr>
          <w:p w14:paraId="7B95B8F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11</w:t>
            </w:r>
          </w:p>
        </w:tc>
        <w:tc>
          <w:tcPr>
            <w:tcW w:w="1000" w:type="pct"/>
            <w:tcBorders>
              <w:top w:val="nil"/>
              <w:left w:val="nil"/>
              <w:bottom w:val="single" w:sz="4" w:space="0" w:color="auto"/>
              <w:right w:val="single" w:sz="4" w:space="0" w:color="auto"/>
            </w:tcBorders>
            <w:shd w:val="clear" w:color="auto" w:fill="auto"/>
            <w:noWrap/>
            <w:vAlign w:val="center"/>
            <w:hideMark/>
          </w:tcPr>
          <w:p w14:paraId="39E5720F"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9</w:t>
            </w:r>
          </w:p>
        </w:tc>
      </w:tr>
      <w:tr w:rsidR="0058113F" w:rsidRPr="0058113F" w14:paraId="6FCE04F9"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165DF6C3"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Dinamarca</w:t>
            </w:r>
          </w:p>
        </w:tc>
        <w:tc>
          <w:tcPr>
            <w:tcW w:w="988" w:type="pct"/>
            <w:tcBorders>
              <w:top w:val="nil"/>
              <w:left w:val="nil"/>
              <w:bottom w:val="single" w:sz="4" w:space="0" w:color="auto"/>
              <w:right w:val="single" w:sz="4" w:space="0" w:color="auto"/>
            </w:tcBorders>
            <w:shd w:val="clear" w:color="auto" w:fill="auto"/>
            <w:vAlign w:val="center"/>
            <w:hideMark/>
          </w:tcPr>
          <w:p w14:paraId="2DD0648B"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28,82</w:t>
            </w:r>
          </w:p>
        </w:tc>
        <w:tc>
          <w:tcPr>
            <w:tcW w:w="988" w:type="pct"/>
            <w:tcBorders>
              <w:top w:val="nil"/>
              <w:left w:val="nil"/>
              <w:bottom w:val="single" w:sz="4" w:space="0" w:color="auto"/>
              <w:right w:val="single" w:sz="4" w:space="0" w:color="auto"/>
            </w:tcBorders>
            <w:shd w:val="clear" w:color="auto" w:fill="auto"/>
            <w:vAlign w:val="center"/>
            <w:hideMark/>
          </w:tcPr>
          <w:p w14:paraId="2EADE9D6"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24,4</w:t>
            </w:r>
          </w:p>
        </w:tc>
        <w:tc>
          <w:tcPr>
            <w:tcW w:w="1000" w:type="pct"/>
            <w:tcBorders>
              <w:top w:val="nil"/>
              <w:left w:val="nil"/>
              <w:bottom w:val="single" w:sz="4" w:space="0" w:color="auto"/>
              <w:right w:val="single" w:sz="4" w:space="0" w:color="auto"/>
            </w:tcBorders>
            <w:shd w:val="clear" w:color="auto" w:fill="auto"/>
            <w:noWrap/>
            <w:vAlign w:val="center"/>
            <w:hideMark/>
          </w:tcPr>
          <w:p w14:paraId="60F0793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7</w:t>
            </w:r>
          </w:p>
        </w:tc>
        <w:tc>
          <w:tcPr>
            <w:tcW w:w="1000" w:type="pct"/>
            <w:tcBorders>
              <w:top w:val="nil"/>
              <w:left w:val="nil"/>
              <w:bottom w:val="single" w:sz="4" w:space="0" w:color="auto"/>
              <w:right w:val="single" w:sz="4" w:space="0" w:color="auto"/>
            </w:tcBorders>
            <w:shd w:val="clear" w:color="auto" w:fill="auto"/>
            <w:noWrap/>
            <w:vAlign w:val="center"/>
            <w:hideMark/>
          </w:tcPr>
          <w:p w14:paraId="04669E28"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5</w:t>
            </w:r>
          </w:p>
        </w:tc>
      </w:tr>
      <w:tr w:rsidR="0058113F" w:rsidRPr="0058113F" w14:paraId="7CE85935"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DA1B73F"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España</w:t>
            </w:r>
          </w:p>
        </w:tc>
        <w:tc>
          <w:tcPr>
            <w:tcW w:w="988" w:type="pct"/>
            <w:tcBorders>
              <w:top w:val="nil"/>
              <w:left w:val="nil"/>
              <w:bottom w:val="single" w:sz="4" w:space="0" w:color="auto"/>
              <w:right w:val="single" w:sz="4" w:space="0" w:color="auto"/>
            </w:tcBorders>
            <w:shd w:val="clear" w:color="auto" w:fill="auto"/>
            <w:vAlign w:val="center"/>
            <w:hideMark/>
          </w:tcPr>
          <w:p w14:paraId="4FFFD03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24,56</w:t>
            </w:r>
          </w:p>
        </w:tc>
        <w:tc>
          <w:tcPr>
            <w:tcW w:w="988" w:type="pct"/>
            <w:tcBorders>
              <w:top w:val="nil"/>
              <w:left w:val="nil"/>
              <w:bottom w:val="single" w:sz="4" w:space="0" w:color="auto"/>
              <w:right w:val="single" w:sz="4" w:space="0" w:color="auto"/>
            </w:tcBorders>
            <w:shd w:val="clear" w:color="auto" w:fill="auto"/>
            <w:vAlign w:val="center"/>
            <w:hideMark/>
          </w:tcPr>
          <w:p w14:paraId="23E3B023"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15,74</w:t>
            </w:r>
          </w:p>
        </w:tc>
        <w:tc>
          <w:tcPr>
            <w:tcW w:w="1000" w:type="pct"/>
            <w:tcBorders>
              <w:top w:val="nil"/>
              <w:left w:val="nil"/>
              <w:bottom w:val="single" w:sz="4" w:space="0" w:color="auto"/>
              <w:right w:val="single" w:sz="4" w:space="0" w:color="auto"/>
            </w:tcBorders>
            <w:shd w:val="clear" w:color="auto" w:fill="auto"/>
            <w:noWrap/>
            <w:vAlign w:val="center"/>
            <w:hideMark/>
          </w:tcPr>
          <w:p w14:paraId="70E9069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15</w:t>
            </w:r>
          </w:p>
        </w:tc>
        <w:tc>
          <w:tcPr>
            <w:tcW w:w="1000" w:type="pct"/>
            <w:tcBorders>
              <w:top w:val="nil"/>
              <w:left w:val="nil"/>
              <w:bottom w:val="single" w:sz="4" w:space="0" w:color="auto"/>
              <w:right w:val="single" w:sz="4" w:space="0" w:color="auto"/>
            </w:tcBorders>
            <w:shd w:val="clear" w:color="auto" w:fill="auto"/>
            <w:noWrap/>
            <w:vAlign w:val="center"/>
            <w:hideMark/>
          </w:tcPr>
          <w:p w14:paraId="36AF449F"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15</w:t>
            </w:r>
          </w:p>
        </w:tc>
      </w:tr>
      <w:tr w:rsidR="0058113F" w:rsidRPr="0058113F" w14:paraId="524D9E00"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8B33119"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Finlandia</w:t>
            </w:r>
          </w:p>
        </w:tc>
        <w:tc>
          <w:tcPr>
            <w:tcW w:w="988" w:type="pct"/>
            <w:tcBorders>
              <w:top w:val="nil"/>
              <w:left w:val="nil"/>
              <w:bottom w:val="single" w:sz="4" w:space="0" w:color="auto"/>
              <w:right w:val="single" w:sz="4" w:space="0" w:color="auto"/>
            </w:tcBorders>
            <w:shd w:val="clear" w:color="auto" w:fill="auto"/>
            <w:vAlign w:val="center"/>
            <w:hideMark/>
          </w:tcPr>
          <w:p w14:paraId="0D6F8D30"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30,32</w:t>
            </w:r>
          </w:p>
        </w:tc>
        <w:tc>
          <w:tcPr>
            <w:tcW w:w="988" w:type="pct"/>
            <w:tcBorders>
              <w:top w:val="nil"/>
              <w:left w:val="nil"/>
              <w:bottom w:val="single" w:sz="4" w:space="0" w:color="auto"/>
              <w:right w:val="single" w:sz="4" w:space="0" w:color="auto"/>
            </w:tcBorders>
            <w:shd w:val="clear" w:color="auto" w:fill="auto"/>
            <w:vAlign w:val="center"/>
            <w:hideMark/>
          </w:tcPr>
          <w:p w14:paraId="0B881CB8"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21,74</w:t>
            </w:r>
          </w:p>
        </w:tc>
        <w:tc>
          <w:tcPr>
            <w:tcW w:w="1000" w:type="pct"/>
            <w:tcBorders>
              <w:top w:val="nil"/>
              <w:left w:val="nil"/>
              <w:bottom w:val="single" w:sz="4" w:space="0" w:color="auto"/>
              <w:right w:val="single" w:sz="4" w:space="0" w:color="auto"/>
            </w:tcBorders>
            <w:shd w:val="clear" w:color="auto" w:fill="auto"/>
            <w:noWrap/>
            <w:vAlign w:val="center"/>
            <w:hideMark/>
          </w:tcPr>
          <w:p w14:paraId="7FC26DBF"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w:t>
            </w:r>
          </w:p>
        </w:tc>
        <w:tc>
          <w:tcPr>
            <w:tcW w:w="1000" w:type="pct"/>
            <w:tcBorders>
              <w:top w:val="nil"/>
              <w:left w:val="nil"/>
              <w:bottom w:val="single" w:sz="4" w:space="0" w:color="auto"/>
              <w:right w:val="single" w:sz="4" w:space="0" w:color="auto"/>
            </w:tcBorders>
            <w:shd w:val="clear" w:color="auto" w:fill="auto"/>
            <w:noWrap/>
            <w:vAlign w:val="center"/>
            <w:hideMark/>
          </w:tcPr>
          <w:p w14:paraId="60F92D59"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8</w:t>
            </w:r>
          </w:p>
        </w:tc>
      </w:tr>
      <w:tr w:rsidR="0058113F" w:rsidRPr="0058113F" w14:paraId="313DD87C"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6B34AB5"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Francia</w:t>
            </w:r>
          </w:p>
        </w:tc>
        <w:tc>
          <w:tcPr>
            <w:tcW w:w="988" w:type="pct"/>
            <w:tcBorders>
              <w:top w:val="nil"/>
              <w:left w:val="nil"/>
              <w:bottom w:val="single" w:sz="4" w:space="0" w:color="auto"/>
              <w:right w:val="single" w:sz="4" w:space="0" w:color="auto"/>
            </w:tcBorders>
            <w:shd w:val="clear" w:color="auto" w:fill="auto"/>
            <w:vAlign w:val="center"/>
            <w:hideMark/>
          </w:tcPr>
          <w:p w14:paraId="2745BA0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30,68</w:t>
            </w:r>
          </w:p>
        </w:tc>
        <w:tc>
          <w:tcPr>
            <w:tcW w:w="988" w:type="pct"/>
            <w:tcBorders>
              <w:top w:val="nil"/>
              <w:left w:val="nil"/>
              <w:bottom w:val="single" w:sz="4" w:space="0" w:color="auto"/>
              <w:right w:val="single" w:sz="4" w:space="0" w:color="auto"/>
            </w:tcBorders>
            <w:shd w:val="clear" w:color="auto" w:fill="auto"/>
            <w:vAlign w:val="center"/>
            <w:hideMark/>
          </w:tcPr>
          <w:p w14:paraId="38FE61D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20,44</w:t>
            </w:r>
          </w:p>
        </w:tc>
        <w:tc>
          <w:tcPr>
            <w:tcW w:w="1000" w:type="pct"/>
            <w:tcBorders>
              <w:top w:val="nil"/>
              <w:left w:val="nil"/>
              <w:bottom w:val="single" w:sz="4" w:space="0" w:color="auto"/>
              <w:right w:val="single" w:sz="4" w:space="0" w:color="auto"/>
            </w:tcBorders>
            <w:shd w:val="clear" w:color="auto" w:fill="auto"/>
            <w:noWrap/>
            <w:vAlign w:val="center"/>
            <w:hideMark/>
          </w:tcPr>
          <w:p w14:paraId="11FBE03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w:t>
            </w:r>
          </w:p>
        </w:tc>
        <w:tc>
          <w:tcPr>
            <w:tcW w:w="1000" w:type="pct"/>
            <w:tcBorders>
              <w:top w:val="nil"/>
              <w:left w:val="nil"/>
              <w:bottom w:val="single" w:sz="4" w:space="0" w:color="auto"/>
              <w:right w:val="single" w:sz="4" w:space="0" w:color="auto"/>
            </w:tcBorders>
            <w:shd w:val="clear" w:color="auto" w:fill="auto"/>
            <w:noWrap/>
            <w:vAlign w:val="center"/>
            <w:hideMark/>
          </w:tcPr>
          <w:p w14:paraId="06D4EABC"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10</w:t>
            </w:r>
          </w:p>
        </w:tc>
      </w:tr>
      <w:tr w:rsidR="0058113F" w:rsidRPr="0058113F" w14:paraId="381FE16E"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CA6CAA4"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Grecia</w:t>
            </w:r>
          </w:p>
        </w:tc>
        <w:tc>
          <w:tcPr>
            <w:tcW w:w="988" w:type="pct"/>
            <w:tcBorders>
              <w:top w:val="nil"/>
              <w:left w:val="nil"/>
              <w:bottom w:val="single" w:sz="4" w:space="0" w:color="auto"/>
              <w:right w:val="single" w:sz="4" w:space="0" w:color="auto"/>
            </w:tcBorders>
            <w:shd w:val="clear" w:color="auto" w:fill="auto"/>
            <w:vAlign w:val="center"/>
            <w:hideMark/>
          </w:tcPr>
          <w:p w14:paraId="15B8B4E5"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30,06</w:t>
            </w:r>
          </w:p>
        </w:tc>
        <w:tc>
          <w:tcPr>
            <w:tcW w:w="988" w:type="pct"/>
            <w:tcBorders>
              <w:top w:val="nil"/>
              <w:left w:val="nil"/>
              <w:bottom w:val="single" w:sz="4" w:space="0" w:color="auto"/>
              <w:right w:val="single" w:sz="4" w:space="0" w:color="auto"/>
            </w:tcBorders>
            <w:shd w:val="clear" w:color="auto" w:fill="auto"/>
            <w:vAlign w:val="center"/>
            <w:hideMark/>
          </w:tcPr>
          <w:p w14:paraId="6A007B52"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25,84</w:t>
            </w:r>
          </w:p>
        </w:tc>
        <w:tc>
          <w:tcPr>
            <w:tcW w:w="1000" w:type="pct"/>
            <w:tcBorders>
              <w:top w:val="nil"/>
              <w:left w:val="nil"/>
              <w:bottom w:val="single" w:sz="4" w:space="0" w:color="auto"/>
              <w:right w:val="single" w:sz="4" w:space="0" w:color="auto"/>
            </w:tcBorders>
            <w:shd w:val="clear" w:color="auto" w:fill="auto"/>
            <w:noWrap/>
            <w:vAlign w:val="center"/>
            <w:hideMark/>
          </w:tcPr>
          <w:p w14:paraId="2F87F998"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5</w:t>
            </w:r>
          </w:p>
        </w:tc>
        <w:tc>
          <w:tcPr>
            <w:tcW w:w="1000" w:type="pct"/>
            <w:tcBorders>
              <w:top w:val="nil"/>
              <w:left w:val="nil"/>
              <w:bottom w:val="single" w:sz="4" w:space="0" w:color="auto"/>
              <w:right w:val="single" w:sz="4" w:space="0" w:color="auto"/>
            </w:tcBorders>
            <w:shd w:val="clear" w:color="auto" w:fill="auto"/>
            <w:noWrap/>
            <w:vAlign w:val="center"/>
            <w:hideMark/>
          </w:tcPr>
          <w:p w14:paraId="0E7EF8E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w:t>
            </w:r>
          </w:p>
        </w:tc>
      </w:tr>
      <w:tr w:rsidR="0058113F" w:rsidRPr="0058113F" w14:paraId="21D9DA8D"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A180A2F"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Holanda</w:t>
            </w:r>
          </w:p>
        </w:tc>
        <w:tc>
          <w:tcPr>
            <w:tcW w:w="988" w:type="pct"/>
            <w:tcBorders>
              <w:top w:val="nil"/>
              <w:left w:val="nil"/>
              <w:bottom w:val="single" w:sz="4" w:space="0" w:color="auto"/>
              <w:right w:val="single" w:sz="4" w:space="0" w:color="auto"/>
            </w:tcBorders>
            <w:shd w:val="clear" w:color="auto" w:fill="auto"/>
            <w:vAlign w:val="center"/>
            <w:hideMark/>
          </w:tcPr>
          <w:p w14:paraId="474B8304"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26,56</w:t>
            </w:r>
          </w:p>
        </w:tc>
        <w:tc>
          <w:tcPr>
            <w:tcW w:w="988" w:type="pct"/>
            <w:tcBorders>
              <w:top w:val="nil"/>
              <w:left w:val="nil"/>
              <w:bottom w:val="single" w:sz="4" w:space="0" w:color="auto"/>
              <w:right w:val="single" w:sz="4" w:space="0" w:color="auto"/>
            </w:tcBorders>
            <w:shd w:val="clear" w:color="auto" w:fill="auto"/>
            <w:vAlign w:val="center"/>
            <w:hideMark/>
          </w:tcPr>
          <w:p w14:paraId="36EE1768"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19,82</w:t>
            </w:r>
          </w:p>
        </w:tc>
        <w:tc>
          <w:tcPr>
            <w:tcW w:w="1000" w:type="pct"/>
            <w:tcBorders>
              <w:top w:val="nil"/>
              <w:left w:val="nil"/>
              <w:bottom w:val="single" w:sz="4" w:space="0" w:color="auto"/>
              <w:right w:val="single" w:sz="4" w:space="0" w:color="auto"/>
            </w:tcBorders>
            <w:shd w:val="clear" w:color="auto" w:fill="auto"/>
            <w:noWrap/>
            <w:vAlign w:val="center"/>
            <w:hideMark/>
          </w:tcPr>
          <w:p w14:paraId="6704BA49"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13</w:t>
            </w:r>
          </w:p>
        </w:tc>
        <w:tc>
          <w:tcPr>
            <w:tcW w:w="1000" w:type="pct"/>
            <w:tcBorders>
              <w:top w:val="nil"/>
              <w:left w:val="nil"/>
              <w:bottom w:val="single" w:sz="4" w:space="0" w:color="auto"/>
              <w:right w:val="single" w:sz="4" w:space="0" w:color="auto"/>
            </w:tcBorders>
            <w:shd w:val="clear" w:color="auto" w:fill="auto"/>
            <w:noWrap/>
            <w:vAlign w:val="center"/>
            <w:hideMark/>
          </w:tcPr>
          <w:p w14:paraId="3B6B63A1"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12</w:t>
            </w:r>
          </w:p>
        </w:tc>
      </w:tr>
      <w:tr w:rsidR="0058113F" w:rsidRPr="0058113F" w14:paraId="362FAA7F"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DA21C81"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Irlanda</w:t>
            </w:r>
          </w:p>
        </w:tc>
        <w:tc>
          <w:tcPr>
            <w:tcW w:w="988" w:type="pct"/>
            <w:tcBorders>
              <w:top w:val="nil"/>
              <w:left w:val="nil"/>
              <w:bottom w:val="single" w:sz="4" w:space="0" w:color="auto"/>
              <w:right w:val="single" w:sz="4" w:space="0" w:color="auto"/>
            </w:tcBorders>
            <w:shd w:val="clear" w:color="auto" w:fill="auto"/>
            <w:vAlign w:val="center"/>
            <w:hideMark/>
          </w:tcPr>
          <w:p w14:paraId="0F2C4D12"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31,4</w:t>
            </w:r>
          </w:p>
        </w:tc>
        <w:tc>
          <w:tcPr>
            <w:tcW w:w="988" w:type="pct"/>
            <w:tcBorders>
              <w:top w:val="nil"/>
              <w:left w:val="nil"/>
              <w:bottom w:val="single" w:sz="4" w:space="0" w:color="auto"/>
              <w:right w:val="single" w:sz="4" w:space="0" w:color="auto"/>
            </w:tcBorders>
            <w:shd w:val="clear" w:color="auto" w:fill="auto"/>
            <w:vAlign w:val="center"/>
            <w:hideMark/>
          </w:tcPr>
          <w:p w14:paraId="3195549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22,18</w:t>
            </w:r>
          </w:p>
        </w:tc>
        <w:tc>
          <w:tcPr>
            <w:tcW w:w="1000" w:type="pct"/>
            <w:tcBorders>
              <w:top w:val="nil"/>
              <w:left w:val="nil"/>
              <w:bottom w:val="single" w:sz="4" w:space="0" w:color="auto"/>
              <w:right w:val="single" w:sz="4" w:space="0" w:color="auto"/>
            </w:tcBorders>
            <w:shd w:val="clear" w:color="auto" w:fill="auto"/>
            <w:noWrap/>
            <w:vAlign w:val="center"/>
            <w:hideMark/>
          </w:tcPr>
          <w:p w14:paraId="48DB601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w:t>
            </w:r>
          </w:p>
        </w:tc>
        <w:tc>
          <w:tcPr>
            <w:tcW w:w="1000" w:type="pct"/>
            <w:tcBorders>
              <w:top w:val="nil"/>
              <w:left w:val="nil"/>
              <w:bottom w:val="single" w:sz="4" w:space="0" w:color="auto"/>
              <w:right w:val="single" w:sz="4" w:space="0" w:color="auto"/>
            </w:tcBorders>
            <w:shd w:val="clear" w:color="auto" w:fill="auto"/>
            <w:noWrap/>
            <w:vAlign w:val="center"/>
            <w:hideMark/>
          </w:tcPr>
          <w:p w14:paraId="23029C3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7</w:t>
            </w:r>
          </w:p>
        </w:tc>
      </w:tr>
      <w:tr w:rsidR="0058113F" w:rsidRPr="0058113F" w14:paraId="584C138C"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DAC8CAC"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Italia</w:t>
            </w:r>
          </w:p>
        </w:tc>
        <w:tc>
          <w:tcPr>
            <w:tcW w:w="988" w:type="pct"/>
            <w:tcBorders>
              <w:top w:val="nil"/>
              <w:left w:val="nil"/>
              <w:bottom w:val="single" w:sz="4" w:space="0" w:color="auto"/>
              <w:right w:val="single" w:sz="4" w:space="0" w:color="auto"/>
            </w:tcBorders>
            <w:shd w:val="clear" w:color="auto" w:fill="auto"/>
            <w:vAlign w:val="center"/>
            <w:hideMark/>
          </w:tcPr>
          <w:p w14:paraId="3F9D87B6"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26,04</w:t>
            </w:r>
          </w:p>
        </w:tc>
        <w:tc>
          <w:tcPr>
            <w:tcW w:w="988" w:type="pct"/>
            <w:tcBorders>
              <w:top w:val="nil"/>
              <w:left w:val="nil"/>
              <w:bottom w:val="single" w:sz="4" w:space="0" w:color="auto"/>
              <w:right w:val="single" w:sz="4" w:space="0" w:color="auto"/>
            </w:tcBorders>
            <w:shd w:val="clear" w:color="auto" w:fill="auto"/>
            <w:vAlign w:val="center"/>
            <w:hideMark/>
          </w:tcPr>
          <w:p w14:paraId="196C3A2B"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16,34</w:t>
            </w:r>
          </w:p>
        </w:tc>
        <w:tc>
          <w:tcPr>
            <w:tcW w:w="1000" w:type="pct"/>
            <w:tcBorders>
              <w:top w:val="nil"/>
              <w:left w:val="nil"/>
              <w:bottom w:val="single" w:sz="4" w:space="0" w:color="auto"/>
              <w:right w:val="single" w:sz="4" w:space="0" w:color="auto"/>
            </w:tcBorders>
            <w:shd w:val="clear" w:color="auto" w:fill="auto"/>
            <w:noWrap/>
            <w:vAlign w:val="center"/>
            <w:hideMark/>
          </w:tcPr>
          <w:p w14:paraId="6800506C"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14</w:t>
            </w:r>
          </w:p>
        </w:tc>
        <w:tc>
          <w:tcPr>
            <w:tcW w:w="1000" w:type="pct"/>
            <w:tcBorders>
              <w:top w:val="nil"/>
              <w:left w:val="nil"/>
              <w:bottom w:val="single" w:sz="4" w:space="0" w:color="auto"/>
              <w:right w:val="single" w:sz="4" w:space="0" w:color="auto"/>
            </w:tcBorders>
            <w:shd w:val="clear" w:color="auto" w:fill="auto"/>
            <w:noWrap/>
            <w:vAlign w:val="center"/>
            <w:hideMark/>
          </w:tcPr>
          <w:p w14:paraId="6F1A200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14</w:t>
            </w:r>
          </w:p>
        </w:tc>
      </w:tr>
      <w:tr w:rsidR="0058113F" w:rsidRPr="0058113F" w14:paraId="2D01CE20"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996BBB2"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Luxemburgo</w:t>
            </w:r>
          </w:p>
        </w:tc>
        <w:tc>
          <w:tcPr>
            <w:tcW w:w="988" w:type="pct"/>
            <w:tcBorders>
              <w:top w:val="nil"/>
              <w:left w:val="nil"/>
              <w:bottom w:val="single" w:sz="4" w:space="0" w:color="auto"/>
              <w:right w:val="single" w:sz="4" w:space="0" w:color="auto"/>
            </w:tcBorders>
            <w:shd w:val="clear" w:color="auto" w:fill="auto"/>
            <w:vAlign w:val="center"/>
            <w:hideMark/>
          </w:tcPr>
          <w:p w14:paraId="26AB93B3"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29,16</w:t>
            </w:r>
          </w:p>
        </w:tc>
        <w:tc>
          <w:tcPr>
            <w:tcW w:w="988" w:type="pct"/>
            <w:tcBorders>
              <w:top w:val="nil"/>
              <w:left w:val="nil"/>
              <w:bottom w:val="single" w:sz="4" w:space="0" w:color="auto"/>
              <w:right w:val="single" w:sz="4" w:space="0" w:color="auto"/>
            </w:tcBorders>
            <w:shd w:val="clear" w:color="auto" w:fill="auto"/>
            <w:vAlign w:val="center"/>
            <w:hideMark/>
          </w:tcPr>
          <w:p w14:paraId="1F4E1392"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19,12</w:t>
            </w:r>
          </w:p>
        </w:tc>
        <w:tc>
          <w:tcPr>
            <w:tcW w:w="1000" w:type="pct"/>
            <w:tcBorders>
              <w:top w:val="nil"/>
              <w:left w:val="nil"/>
              <w:bottom w:val="single" w:sz="4" w:space="0" w:color="auto"/>
              <w:right w:val="single" w:sz="4" w:space="0" w:color="auto"/>
            </w:tcBorders>
            <w:shd w:val="clear" w:color="auto" w:fill="auto"/>
            <w:noWrap/>
            <w:vAlign w:val="center"/>
            <w:hideMark/>
          </w:tcPr>
          <w:p w14:paraId="11517DD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6</w:t>
            </w:r>
          </w:p>
        </w:tc>
        <w:tc>
          <w:tcPr>
            <w:tcW w:w="1000" w:type="pct"/>
            <w:tcBorders>
              <w:top w:val="nil"/>
              <w:left w:val="nil"/>
              <w:bottom w:val="single" w:sz="4" w:space="0" w:color="auto"/>
              <w:right w:val="single" w:sz="4" w:space="0" w:color="auto"/>
            </w:tcBorders>
            <w:shd w:val="clear" w:color="auto" w:fill="auto"/>
            <w:noWrap/>
            <w:vAlign w:val="center"/>
            <w:hideMark/>
          </w:tcPr>
          <w:p w14:paraId="7E55649D"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13</w:t>
            </w:r>
          </w:p>
        </w:tc>
      </w:tr>
      <w:tr w:rsidR="0058113F" w:rsidRPr="0058113F" w14:paraId="60EDEFEF"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94D7B77"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Portugal</w:t>
            </w:r>
          </w:p>
        </w:tc>
        <w:tc>
          <w:tcPr>
            <w:tcW w:w="988" w:type="pct"/>
            <w:tcBorders>
              <w:top w:val="nil"/>
              <w:left w:val="nil"/>
              <w:bottom w:val="single" w:sz="4" w:space="0" w:color="auto"/>
              <w:right w:val="single" w:sz="4" w:space="0" w:color="auto"/>
            </w:tcBorders>
            <w:shd w:val="clear" w:color="auto" w:fill="auto"/>
            <w:vAlign w:val="center"/>
            <w:hideMark/>
          </w:tcPr>
          <w:p w14:paraId="6C8655E6"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27,88</w:t>
            </w:r>
          </w:p>
        </w:tc>
        <w:tc>
          <w:tcPr>
            <w:tcW w:w="988" w:type="pct"/>
            <w:tcBorders>
              <w:top w:val="nil"/>
              <w:left w:val="nil"/>
              <w:bottom w:val="single" w:sz="4" w:space="0" w:color="auto"/>
              <w:right w:val="single" w:sz="4" w:space="0" w:color="auto"/>
            </w:tcBorders>
            <w:shd w:val="clear" w:color="auto" w:fill="auto"/>
            <w:vAlign w:val="center"/>
            <w:hideMark/>
          </w:tcPr>
          <w:p w14:paraId="789A584E"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25,14</w:t>
            </w:r>
          </w:p>
        </w:tc>
        <w:tc>
          <w:tcPr>
            <w:tcW w:w="1000" w:type="pct"/>
            <w:tcBorders>
              <w:top w:val="nil"/>
              <w:left w:val="nil"/>
              <w:bottom w:val="single" w:sz="4" w:space="0" w:color="auto"/>
              <w:right w:val="single" w:sz="4" w:space="0" w:color="auto"/>
            </w:tcBorders>
            <w:shd w:val="clear" w:color="auto" w:fill="auto"/>
            <w:noWrap/>
            <w:vAlign w:val="center"/>
            <w:hideMark/>
          </w:tcPr>
          <w:p w14:paraId="543A9D00"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9</w:t>
            </w:r>
          </w:p>
        </w:tc>
        <w:tc>
          <w:tcPr>
            <w:tcW w:w="1000" w:type="pct"/>
            <w:tcBorders>
              <w:top w:val="nil"/>
              <w:left w:val="nil"/>
              <w:bottom w:val="single" w:sz="4" w:space="0" w:color="auto"/>
              <w:right w:val="single" w:sz="4" w:space="0" w:color="auto"/>
            </w:tcBorders>
            <w:shd w:val="clear" w:color="auto" w:fill="auto"/>
            <w:noWrap/>
            <w:vAlign w:val="center"/>
            <w:hideMark/>
          </w:tcPr>
          <w:p w14:paraId="67A5DBCB"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4</w:t>
            </w:r>
          </w:p>
        </w:tc>
      </w:tr>
      <w:tr w:rsidR="0058113F" w:rsidRPr="0058113F" w14:paraId="564AA345"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31A80F6"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Reino Unido</w:t>
            </w:r>
          </w:p>
        </w:tc>
        <w:tc>
          <w:tcPr>
            <w:tcW w:w="988" w:type="pct"/>
            <w:tcBorders>
              <w:top w:val="nil"/>
              <w:left w:val="nil"/>
              <w:bottom w:val="single" w:sz="4" w:space="0" w:color="auto"/>
              <w:right w:val="single" w:sz="4" w:space="0" w:color="auto"/>
            </w:tcBorders>
            <w:shd w:val="clear" w:color="auto" w:fill="auto"/>
            <w:vAlign w:val="center"/>
            <w:hideMark/>
          </w:tcPr>
          <w:p w14:paraId="4AD22EBD"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27,8</w:t>
            </w:r>
          </w:p>
        </w:tc>
        <w:tc>
          <w:tcPr>
            <w:tcW w:w="988" w:type="pct"/>
            <w:tcBorders>
              <w:top w:val="nil"/>
              <w:left w:val="nil"/>
              <w:bottom w:val="single" w:sz="4" w:space="0" w:color="auto"/>
              <w:right w:val="single" w:sz="4" w:space="0" w:color="auto"/>
            </w:tcBorders>
            <w:shd w:val="clear" w:color="auto" w:fill="auto"/>
            <w:vAlign w:val="center"/>
            <w:hideMark/>
          </w:tcPr>
          <w:p w14:paraId="7C57EC89"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23,28</w:t>
            </w:r>
          </w:p>
        </w:tc>
        <w:tc>
          <w:tcPr>
            <w:tcW w:w="1000" w:type="pct"/>
            <w:tcBorders>
              <w:top w:val="nil"/>
              <w:left w:val="nil"/>
              <w:bottom w:val="single" w:sz="4" w:space="0" w:color="auto"/>
              <w:right w:val="single" w:sz="4" w:space="0" w:color="auto"/>
            </w:tcBorders>
            <w:shd w:val="clear" w:color="auto" w:fill="auto"/>
            <w:noWrap/>
            <w:vAlign w:val="center"/>
            <w:hideMark/>
          </w:tcPr>
          <w:p w14:paraId="541A48D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10</w:t>
            </w:r>
          </w:p>
        </w:tc>
        <w:tc>
          <w:tcPr>
            <w:tcW w:w="1000" w:type="pct"/>
            <w:tcBorders>
              <w:top w:val="nil"/>
              <w:left w:val="nil"/>
              <w:bottom w:val="single" w:sz="4" w:space="0" w:color="auto"/>
              <w:right w:val="single" w:sz="4" w:space="0" w:color="auto"/>
            </w:tcBorders>
            <w:shd w:val="clear" w:color="auto" w:fill="auto"/>
            <w:noWrap/>
            <w:vAlign w:val="center"/>
            <w:hideMark/>
          </w:tcPr>
          <w:p w14:paraId="0F6950B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6</w:t>
            </w:r>
          </w:p>
        </w:tc>
      </w:tr>
      <w:tr w:rsidR="0058113F" w:rsidRPr="0058113F" w14:paraId="7410F4E1" w14:textId="77777777" w:rsidTr="005F1A1A">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86674A6" w14:textId="77777777" w:rsidR="0058113F" w:rsidRPr="0058113F" w:rsidRDefault="0058113F" w:rsidP="0058113F">
            <w:pPr>
              <w:jc w:val="both"/>
              <w:rPr>
                <w:rFonts w:eastAsia="Times New Roman"/>
                <w:color w:val="000000"/>
                <w:sz w:val="20"/>
                <w:szCs w:val="20"/>
              </w:rPr>
            </w:pPr>
            <w:r w:rsidRPr="0058113F">
              <w:rPr>
                <w:rFonts w:eastAsia="Times New Roman"/>
                <w:color w:val="000000"/>
                <w:sz w:val="20"/>
                <w:szCs w:val="20"/>
              </w:rPr>
              <w:t>Suecia</w:t>
            </w:r>
          </w:p>
        </w:tc>
        <w:tc>
          <w:tcPr>
            <w:tcW w:w="988" w:type="pct"/>
            <w:tcBorders>
              <w:top w:val="nil"/>
              <w:left w:val="nil"/>
              <w:bottom w:val="single" w:sz="4" w:space="0" w:color="auto"/>
              <w:right w:val="single" w:sz="4" w:space="0" w:color="auto"/>
            </w:tcBorders>
            <w:shd w:val="clear" w:color="auto" w:fill="auto"/>
            <w:vAlign w:val="center"/>
            <w:hideMark/>
          </w:tcPr>
          <w:p w14:paraId="5D95AAF7"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28,68</w:t>
            </w:r>
          </w:p>
        </w:tc>
        <w:tc>
          <w:tcPr>
            <w:tcW w:w="988" w:type="pct"/>
            <w:tcBorders>
              <w:top w:val="nil"/>
              <w:left w:val="nil"/>
              <w:bottom w:val="single" w:sz="4" w:space="0" w:color="auto"/>
              <w:right w:val="single" w:sz="4" w:space="0" w:color="auto"/>
            </w:tcBorders>
            <w:shd w:val="clear" w:color="auto" w:fill="auto"/>
            <w:vAlign w:val="center"/>
            <w:hideMark/>
          </w:tcPr>
          <w:p w14:paraId="51CCBB71"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29,98</w:t>
            </w:r>
          </w:p>
        </w:tc>
        <w:tc>
          <w:tcPr>
            <w:tcW w:w="1000" w:type="pct"/>
            <w:tcBorders>
              <w:top w:val="nil"/>
              <w:left w:val="nil"/>
              <w:bottom w:val="single" w:sz="4" w:space="0" w:color="auto"/>
              <w:right w:val="single" w:sz="4" w:space="0" w:color="auto"/>
            </w:tcBorders>
            <w:shd w:val="clear" w:color="auto" w:fill="auto"/>
            <w:noWrap/>
            <w:vAlign w:val="center"/>
            <w:hideMark/>
          </w:tcPr>
          <w:p w14:paraId="363FC59A"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8</w:t>
            </w:r>
          </w:p>
        </w:tc>
        <w:tc>
          <w:tcPr>
            <w:tcW w:w="1000" w:type="pct"/>
            <w:tcBorders>
              <w:top w:val="nil"/>
              <w:left w:val="nil"/>
              <w:bottom w:val="single" w:sz="4" w:space="0" w:color="auto"/>
              <w:right w:val="single" w:sz="4" w:space="0" w:color="auto"/>
            </w:tcBorders>
            <w:shd w:val="clear" w:color="auto" w:fill="auto"/>
            <w:noWrap/>
            <w:vAlign w:val="center"/>
            <w:hideMark/>
          </w:tcPr>
          <w:p w14:paraId="478C7FD5" w14:textId="77777777" w:rsidR="0058113F" w:rsidRPr="0058113F" w:rsidRDefault="0058113F" w:rsidP="0058113F">
            <w:pPr>
              <w:jc w:val="center"/>
              <w:rPr>
                <w:rFonts w:eastAsia="Times New Roman"/>
                <w:color w:val="000000"/>
                <w:sz w:val="20"/>
                <w:szCs w:val="20"/>
              </w:rPr>
            </w:pPr>
            <w:r w:rsidRPr="0058113F">
              <w:rPr>
                <w:rFonts w:eastAsia="Times New Roman"/>
                <w:color w:val="000000"/>
                <w:sz w:val="20"/>
                <w:szCs w:val="20"/>
              </w:rPr>
              <w:t>1</w:t>
            </w:r>
          </w:p>
        </w:tc>
      </w:tr>
    </w:tbl>
    <w:p w14:paraId="498F4829" w14:textId="77777777" w:rsidR="0058113F" w:rsidRPr="0058113F" w:rsidRDefault="0058113F" w:rsidP="0058113F">
      <w:pPr>
        <w:jc w:val="both"/>
        <w:rPr>
          <w:sz w:val="20"/>
          <w:szCs w:val="20"/>
        </w:rPr>
      </w:pPr>
      <w:r w:rsidRPr="0058113F">
        <w:rPr>
          <w:sz w:val="20"/>
          <w:szCs w:val="20"/>
        </w:rPr>
        <w:t xml:space="preserve">Nota: La correlación de Pearson entre </w:t>
      </w:r>
      <w:r w:rsidRPr="0058113F">
        <w:rPr>
          <w:i/>
          <w:sz w:val="20"/>
          <w:szCs w:val="20"/>
        </w:rPr>
        <w:t>RAP</w:t>
      </w:r>
      <w:r w:rsidRPr="0058113F">
        <w:rPr>
          <w:sz w:val="20"/>
          <w:szCs w:val="20"/>
        </w:rPr>
        <w:t xml:space="preserve"> y </w:t>
      </w:r>
      <w:r w:rsidRPr="0058113F">
        <w:rPr>
          <w:i/>
          <w:sz w:val="20"/>
          <w:szCs w:val="20"/>
        </w:rPr>
        <w:t>RAG</w:t>
      </w:r>
      <w:r w:rsidRPr="0058113F">
        <w:rPr>
          <w:sz w:val="20"/>
          <w:szCs w:val="20"/>
        </w:rPr>
        <w:t xml:space="preserve"> es 0,3397 y la de Spearman 0,2393 y en ambos casos no son significativas.</w:t>
      </w:r>
    </w:p>
    <w:p w14:paraId="18D02071" w14:textId="77777777" w:rsidR="0058113F" w:rsidRPr="0058113F" w:rsidRDefault="0058113F" w:rsidP="005B7244">
      <w:pPr>
        <w:spacing w:after="240"/>
        <w:jc w:val="center"/>
        <w:rPr>
          <w:sz w:val="20"/>
          <w:szCs w:val="20"/>
        </w:rPr>
      </w:pPr>
      <w:r w:rsidRPr="0058113F">
        <w:rPr>
          <w:sz w:val="20"/>
          <w:szCs w:val="20"/>
        </w:rPr>
        <w:t xml:space="preserve">Fuente: Elaboración propia a partir de datos de Eurostat, 2018. </w:t>
      </w:r>
    </w:p>
    <w:p w14:paraId="53054CEC" w14:textId="77777777" w:rsidR="00440419" w:rsidRDefault="00440419" w:rsidP="005B7244">
      <w:pPr>
        <w:spacing w:after="240"/>
        <w:jc w:val="both"/>
        <w:rPr>
          <w:b/>
        </w:rPr>
      </w:pPr>
    </w:p>
    <w:p w14:paraId="38CB4D20" w14:textId="08ECBE72" w:rsidR="00CA2BA5" w:rsidRPr="005B7244" w:rsidRDefault="00CA2BA5" w:rsidP="005B7244">
      <w:pPr>
        <w:spacing w:after="240"/>
        <w:jc w:val="both"/>
        <w:rPr>
          <w:b/>
          <w:sz w:val="24"/>
        </w:rPr>
      </w:pPr>
      <w:r w:rsidRPr="005B7244">
        <w:rPr>
          <w:b/>
          <w:sz w:val="24"/>
        </w:rPr>
        <w:t xml:space="preserve">3. </w:t>
      </w:r>
      <w:r w:rsidR="00440419" w:rsidRPr="005B7244">
        <w:rPr>
          <w:b/>
          <w:sz w:val="24"/>
        </w:rPr>
        <w:t>E</w:t>
      </w:r>
      <w:r w:rsidR="005B7244" w:rsidRPr="005B7244">
        <w:rPr>
          <w:b/>
          <w:sz w:val="24"/>
        </w:rPr>
        <w:t>valuación de la eficiencia del gasto social en la reducción de la pobreza y la desigualdad de rentas</w:t>
      </w:r>
      <w:r w:rsidRPr="005B7244">
        <w:rPr>
          <w:b/>
          <w:sz w:val="24"/>
        </w:rPr>
        <w:t>.</w:t>
      </w:r>
    </w:p>
    <w:p w14:paraId="32E83C9C" w14:textId="49590654" w:rsidR="00CA2BA5" w:rsidRPr="00CA2BA5" w:rsidRDefault="00CA2BA5" w:rsidP="00CA2BA5">
      <w:pPr>
        <w:spacing w:after="240"/>
        <w:jc w:val="both"/>
        <w:rPr>
          <w:b/>
        </w:rPr>
      </w:pPr>
      <w:r w:rsidRPr="00CA2BA5">
        <w:rPr>
          <w:b/>
        </w:rPr>
        <w:t>3.1. Obtención de fronteras productivas mediante el análisis envolvente de datos</w:t>
      </w:r>
      <w:r>
        <w:rPr>
          <w:b/>
        </w:rPr>
        <w:t>.</w:t>
      </w:r>
    </w:p>
    <w:p w14:paraId="1269F189" w14:textId="40498115" w:rsidR="00CA2BA5" w:rsidRPr="00CA2BA5" w:rsidRDefault="00CA2BA5" w:rsidP="00CA2BA5">
      <w:pPr>
        <w:spacing w:after="240"/>
        <w:jc w:val="both"/>
      </w:pPr>
      <w:r w:rsidRPr="00CA2BA5">
        <w:t xml:space="preserve">El análisis de la eficiencia del gasto social se lleva a cabo con la técnica de Análisis Envolvente de Datos (DEA, Data Envelopment Analisis), propuesto en el clásico trabajo de Charnes et al. (1978). Esta metodología permite valorar la eficiencia de las políticas de los países de la EU15 respecto a la reducción de la desigualdad de rentas y la pobreza, tanto individualmente como considerando conjuntamente ambos objetivos. Se trata seguramente de la técnica analítica más ampliamente utilizada en análisis de productividad, como ponen de manifiesto Liu et al. (2013) y Emrounejad y Yang (2018). Es amplia literatura sobre la eficiencia de políticas públicas aplicando DEA, sobre todo en los ámbitos de sanidad, enseñanza e investigación. Al respecto, destacan los trabajos de Gupta y Verhoeven (2001), Clements (2002), Afonso y St. Aubyn (2004, 2006), González-Pérez et al. (2007), Coccia et al. (2015), Kapsoli y Teodoru (2017) y Anderson </w:t>
      </w:r>
      <w:r w:rsidRPr="005B7244">
        <w:t>et al.</w:t>
      </w:r>
      <w:r w:rsidRPr="00CA2BA5">
        <w:t xml:space="preserve"> (2017). En cambio, escasean los trabajos en el ámbito concreto que nos ocupa, la eficiencia del </w:t>
      </w:r>
      <w:r w:rsidR="00EF0939">
        <w:t>gasto social</w:t>
      </w:r>
      <w:r w:rsidRPr="00CA2BA5">
        <w:t xml:space="preserve"> en la disminución de los indicadores de vulnerabilidad. Como trabajo más relevante se puede destacar Afonso </w:t>
      </w:r>
      <w:r w:rsidRPr="00EF0939">
        <w:t>et al.</w:t>
      </w:r>
      <w:r w:rsidRPr="00CA2BA5">
        <w:t xml:space="preserve"> (2010), realizado con datos de principios del XXI del </w:t>
      </w:r>
      <w:r w:rsidRPr="00CA2BA5">
        <w:rPr>
          <w:i/>
        </w:rPr>
        <w:t>Luxemburg Income Study</w:t>
      </w:r>
      <w:r w:rsidRPr="00CA2BA5">
        <w:t>. En nuestro caso utilizamos datos más actualizados y nos centramos en los países de la EU15.</w:t>
      </w:r>
    </w:p>
    <w:p w14:paraId="5F9B8F58" w14:textId="77777777" w:rsidR="00CA2BA5" w:rsidRPr="00CA2BA5" w:rsidRDefault="00CA2BA5" w:rsidP="00CA2BA5">
      <w:pPr>
        <w:spacing w:after="240"/>
        <w:ind w:firstLine="567"/>
        <w:jc w:val="both"/>
      </w:pPr>
      <w:r w:rsidRPr="00CA2BA5">
        <w:lastRenderedPageBreak/>
        <w:t xml:space="preserve">El análisis DEA parte de que el conjunto de </w:t>
      </w:r>
      <w:r w:rsidRPr="00CA2BA5">
        <w:rPr>
          <w:i/>
        </w:rPr>
        <w:t>n</w:t>
      </w:r>
      <w:r w:rsidRPr="00CA2BA5">
        <w:t xml:space="preserve"> unidades decisoras (UD) evaluadas producen </w:t>
      </w:r>
      <w:r w:rsidRPr="00CA2BA5">
        <w:rPr>
          <w:i/>
        </w:rPr>
        <w:t>R</w:t>
      </w:r>
      <w:r w:rsidRPr="00CA2BA5">
        <w:t xml:space="preserve"> outputs a partir de </w:t>
      </w:r>
      <w:r w:rsidRPr="00CA2BA5">
        <w:rPr>
          <w:i/>
        </w:rPr>
        <w:t>J</w:t>
      </w:r>
      <w:r w:rsidRPr="00CA2BA5">
        <w:t xml:space="preserve"> inputs. Así, denotamos como </w:t>
      </w:r>
      <w:r w:rsidRPr="00CA2BA5">
        <w:rPr>
          <w:i/>
        </w:rPr>
        <w:t>y</w:t>
      </w:r>
      <w:r w:rsidRPr="00CA2BA5">
        <w:rPr>
          <w:i/>
          <w:vertAlign w:val="subscript"/>
        </w:rPr>
        <w:t>ri</w:t>
      </w:r>
      <w:r w:rsidRPr="00CA2BA5">
        <w:t xml:space="preserve"> a la cantidad de output del tipo </w:t>
      </w:r>
      <w:r w:rsidRPr="00CA2BA5">
        <w:rPr>
          <w:i/>
        </w:rPr>
        <w:t>r</w:t>
      </w:r>
      <w:r w:rsidRPr="00CA2BA5">
        <w:t xml:space="preserve"> producido por la </w:t>
      </w:r>
      <w:r w:rsidRPr="00CA2BA5">
        <w:rPr>
          <w:i/>
        </w:rPr>
        <w:t>i</w:t>
      </w:r>
      <w:r w:rsidRPr="00CA2BA5">
        <w:t xml:space="preserve">-ésima unidad decisora, donde </w:t>
      </w:r>
      <w:r w:rsidRPr="00CA2BA5">
        <w:rPr>
          <w:i/>
        </w:rPr>
        <w:t xml:space="preserve">i </w:t>
      </w:r>
      <w:r w:rsidRPr="00CA2BA5">
        <w:t xml:space="preserve">= 1,2, …, </w:t>
      </w:r>
      <w:r w:rsidRPr="00CA2BA5">
        <w:rPr>
          <w:i/>
        </w:rPr>
        <w:t>n</w:t>
      </w:r>
      <w:r w:rsidRPr="00CA2BA5">
        <w:t xml:space="preserve">, y </w:t>
      </w:r>
      <w:r w:rsidRPr="00CA2BA5">
        <w:rPr>
          <w:i/>
        </w:rPr>
        <w:t xml:space="preserve">r </w:t>
      </w:r>
      <w:r w:rsidRPr="00CA2BA5">
        <w:t xml:space="preserve">= 1,2, …, </w:t>
      </w:r>
      <w:r w:rsidRPr="00CA2BA5">
        <w:rPr>
          <w:i/>
        </w:rPr>
        <w:t>R</w:t>
      </w:r>
      <w:r w:rsidRPr="00CA2BA5">
        <w:t xml:space="preserve"> mientras que </w:t>
      </w:r>
      <w:r w:rsidRPr="00CA2BA5">
        <w:rPr>
          <w:i/>
        </w:rPr>
        <w:t>x</w:t>
      </w:r>
      <w:r w:rsidRPr="00CA2BA5">
        <w:rPr>
          <w:i/>
          <w:vertAlign w:val="subscript"/>
        </w:rPr>
        <w:t>ji</w:t>
      </w:r>
      <w:r w:rsidRPr="00CA2BA5">
        <w:t xml:space="preserve"> es la cantidad de input </w:t>
      </w:r>
      <w:r w:rsidRPr="00CA2BA5">
        <w:rPr>
          <w:i/>
        </w:rPr>
        <w:t>j</w:t>
      </w:r>
      <w:r w:rsidRPr="00CA2BA5">
        <w:t xml:space="preserve"> utilizado por dicha UD siendo </w:t>
      </w:r>
      <w:r w:rsidRPr="00CA2BA5">
        <w:rPr>
          <w:i/>
        </w:rPr>
        <w:t xml:space="preserve">j </w:t>
      </w:r>
      <w:r w:rsidRPr="00CA2BA5">
        <w:t xml:space="preserve">= 1,2, …, </w:t>
      </w:r>
      <w:r w:rsidRPr="00CA2BA5">
        <w:rPr>
          <w:i/>
        </w:rPr>
        <w:t>J</w:t>
      </w:r>
      <w:r w:rsidRPr="00CA2BA5">
        <w:t xml:space="preserve">. El trabajo clásico de Charnes et al. (1978) asigna como ratio de eficiencia para la unidad productiva o-ésima </w:t>
      </w:r>
      <w:r w:rsidRPr="00CA2BA5">
        <w:rPr>
          <w:i/>
        </w:rPr>
        <w:sym w:font="Symbol" w:char="F071"/>
      </w:r>
      <w:r w:rsidRPr="00CA2BA5">
        <w:rPr>
          <w:i/>
          <w:vertAlign w:val="subscript"/>
        </w:rPr>
        <w:t>O</w:t>
      </w:r>
      <w:r w:rsidRPr="00CA2BA5">
        <w:t xml:space="preserve"> al valor máximo del ratio de productividad, </w:t>
      </w:r>
      <m:oMath>
        <m:r>
          <w:rPr>
            <w:rFonts w:ascii="Cambria Math" w:hAnsi="Cambria Math"/>
          </w:rPr>
          <m:t>θ=</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y</m:t>
                    </m:r>
                  </m:e>
                  <m:sub>
                    <m:r>
                      <w:rPr>
                        <w:rFonts w:ascii="Cambria Math" w:hAnsi="Cambria Math"/>
                      </w:rPr>
                      <m:t>ro</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v</m:t>
                    </m:r>
                  </m:e>
                  <m:sub>
                    <m:r>
                      <w:rPr>
                        <w:rFonts w:ascii="Cambria Math" w:hAnsi="Cambria Math"/>
                      </w:rPr>
                      <m:t>r</m:t>
                    </m:r>
                  </m:sub>
                </m:sSub>
                <m:sSub>
                  <m:sSubPr>
                    <m:ctrlPr>
                      <w:rPr>
                        <w:rFonts w:ascii="Cambria Math" w:hAnsi="Cambria Math"/>
                        <w:i/>
                      </w:rPr>
                    </m:ctrlPr>
                  </m:sSubPr>
                  <m:e>
                    <m:r>
                      <w:rPr>
                        <w:rFonts w:ascii="Cambria Math" w:hAnsi="Cambria Math"/>
                      </w:rPr>
                      <m:t>x</m:t>
                    </m:r>
                  </m:e>
                  <m:sub>
                    <m:r>
                      <w:rPr>
                        <w:rFonts w:ascii="Cambria Math" w:hAnsi="Cambria Math"/>
                      </w:rPr>
                      <m:t>ro</m:t>
                    </m:r>
                  </m:sub>
                </m:sSub>
              </m:e>
            </m:nary>
          </m:den>
        </m:f>
      </m:oMath>
      <w:r w:rsidRPr="00CA2BA5">
        <w:t>. Así, para medir la productividad de la unidad productiva o-ésima debemos resolver el programa matemático:</w:t>
      </w:r>
    </w:p>
    <w:p w14:paraId="6DD6FB62" w14:textId="77777777" w:rsidR="00CA2BA5" w:rsidRPr="00CA2BA5" w:rsidRDefault="00006FB0" w:rsidP="00CA2BA5">
      <w:pPr>
        <w:spacing w:after="240"/>
        <w:jc w:val="both"/>
        <w:rPr>
          <w:rFonts w:asciiTheme="majorHAnsi" w:hAnsiTheme="majorHAnsi"/>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lim>
              </m:limLow>
            </m:fName>
            <m:e>
              <m:r>
                <w:rPr>
                  <w:rFonts w:ascii="Cambria Math" w:hAnsi="Cambria Math"/>
                </w:rPr>
                <m:t>θ=</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y</m:t>
                          </m:r>
                        </m:e>
                        <m:sub>
                          <m:r>
                            <w:rPr>
                              <w:rFonts w:ascii="Cambria Math" w:hAnsi="Cambria Math"/>
                            </w:rPr>
                            <m:t>ro</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v</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jo</m:t>
                          </m:r>
                        </m:sub>
                      </m:sSub>
                    </m:e>
                  </m:nary>
                </m:den>
              </m:f>
            </m:e>
          </m:func>
        </m:oMath>
      </m:oMathPara>
    </w:p>
    <w:p w14:paraId="6B76C553" w14:textId="77777777" w:rsidR="00CA2BA5" w:rsidRPr="00CA2BA5" w:rsidRDefault="00CA2BA5" w:rsidP="00CA2BA5">
      <w:pPr>
        <w:spacing w:after="240"/>
        <w:jc w:val="both"/>
      </w:pPr>
      <w:r w:rsidRPr="00CA2BA5">
        <w:t>sujeto a:</w:t>
      </w:r>
    </w:p>
    <w:p w14:paraId="467D028E" w14:textId="77777777" w:rsidR="00CA2BA5" w:rsidRPr="00F977B5" w:rsidRDefault="00006FB0" w:rsidP="00CA2BA5">
      <w:pPr>
        <w:spacing w:after="240"/>
        <w:ind w:firstLine="3686"/>
        <w:jc w:val="both"/>
        <w:rPr>
          <w:rFonts w:asciiTheme="majorHAnsi" w:hAnsiTheme="majorHAnsi"/>
        </w:rPr>
      </w:pPr>
      <m:oMath>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y</m:t>
                    </m:r>
                  </m:e>
                  <m:sub>
                    <m:r>
                      <w:rPr>
                        <w:rFonts w:ascii="Cambria Math" w:hAnsi="Cambria Math"/>
                      </w:rPr>
                      <m:t>ri</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v</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m:t>
                    </m:r>
                  </m:sub>
                </m:sSub>
              </m:e>
            </m:nary>
          </m:den>
        </m:f>
        <m:r>
          <w:rPr>
            <w:rFonts w:ascii="Cambria Math" w:hAnsi="Cambria Math"/>
            <w:i/>
          </w:rPr>
          <w:sym w:font="Symbol" w:char="F0A3"/>
        </m:r>
        <m:r>
          <w:rPr>
            <w:rFonts w:ascii="Cambria Math" w:hAnsi="Cambria Math"/>
          </w:rPr>
          <m:t>1</m:t>
        </m:r>
      </m:oMath>
      <w:r w:rsidR="00CA2BA5" w:rsidRPr="00F977B5">
        <w:rPr>
          <w:rFonts w:asciiTheme="majorHAnsi" w:hAnsiTheme="majorHAnsi"/>
        </w:rPr>
        <w:t xml:space="preserve">, </w:t>
      </w:r>
      <w:r w:rsidR="00CA2BA5" w:rsidRPr="00F977B5">
        <w:rPr>
          <w:rFonts w:asciiTheme="majorHAnsi" w:hAnsiTheme="majorHAnsi"/>
          <w:i/>
        </w:rPr>
        <w:t>i</w:t>
      </w:r>
      <w:r w:rsidR="00CA2BA5" w:rsidRPr="00F977B5">
        <w:rPr>
          <w:rFonts w:asciiTheme="majorHAnsi" w:hAnsiTheme="majorHAnsi"/>
        </w:rPr>
        <w:t>=1,2,…,</w:t>
      </w:r>
      <w:r w:rsidR="00CA2BA5" w:rsidRPr="00F977B5">
        <w:rPr>
          <w:rFonts w:asciiTheme="majorHAnsi" w:hAnsiTheme="majorHAnsi"/>
          <w:i/>
        </w:rPr>
        <w:t>n</w:t>
      </w:r>
    </w:p>
    <w:p w14:paraId="44D7CFBC" w14:textId="2CE39DE1" w:rsidR="00CA2BA5" w:rsidRPr="00CA2BA5" w:rsidRDefault="00006FB0" w:rsidP="00CA2BA5">
      <w:pPr>
        <w:tabs>
          <w:tab w:val="left" w:pos="7655"/>
        </w:tabs>
        <w:spacing w:after="240"/>
        <w:ind w:firstLine="3402"/>
        <w:jc w:val="both"/>
        <w:rPr>
          <w:rFonts w:asciiTheme="majorHAnsi" w:hAnsiTheme="majorHAnsi"/>
        </w:rPr>
      </w:pPr>
      <m:oMath>
        <m:sSub>
          <m:sSubPr>
            <m:ctrlPr>
              <w:rPr>
                <w:rFonts w:ascii="Cambria Math" w:hAnsi="Cambria Math"/>
                <w:i/>
              </w:rPr>
            </m:ctrlPr>
          </m:sSubPr>
          <m:e>
            <m:r>
              <w:rPr>
                <w:rFonts w:ascii="Cambria Math" w:hAnsi="Cambria Math"/>
              </w:rPr>
              <m:t>u</m:t>
            </m:r>
          </m:e>
          <m:sub>
            <m:r>
              <w:rPr>
                <w:rFonts w:ascii="Cambria Math" w:hAnsi="Cambria Math"/>
              </w:rPr>
              <m:t>r</m:t>
            </m:r>
          </m:sub>
        </m:sSub>
        <m:r>
          <w:rPr>
            <w:rFonts w:ascii="Cambria Math" w:hAnsi="Cambria Math"/>
          </w:rPr>
          <m:t xml:space="preserve">&gt;0, r=1,2,…,R; </m:t>
        </m:r>
        <m:sSub>
          <m:sSubPr>
            <m:ctrlPr>
              <w:rPr>
                <w:rFonts w:ascii="Cambria Math" w:hAnsi="Cambria Math"/>
                <w:i/>
              </w:rPr>
            </m:ctrlPr>
          </m:sSubPr>
          <m:e>
            <m:r>
              <w:rPr>
                <w:rFonts w:ascii="Cambria Math" w:hAnsi="Cambria Math"/>
              </w:rPr>
              <m:t>v</m:t>
            </m:r>
          </m:e>
          <m:sub>
            <m:r>
              <w:rPr>
                <w:rFonts w:ascii="Cambria Math" w:hAnsi="Cambria Math"/>
              </w:rPr>
              <m:t xml:space="preserve">j </m:t>
            </m:r>
          </m:sub>
        </m:sSub>
        <m:r>
          <w:rPr>
            <w:rFonts w:ascii="Cambria Math" w:hAnsi="Cambria Math"/>
            <w:i/>
          </w:rPr>
          <w:sym w:font="Symbol" w:char="F0B3"/>
        </m:r>
        <m:r>
          <w:rPr>
            <w:rFonts w:ascii="Cambria Math" w:hAnsi="Cambria Math"/>
          </w:rPr>
          <m:t xml:space="preserve"> 0, j=1,2,…,J</m:t>
        </m:r>
      </m:oMath>
      <w:r w:rsidR="00CA2BA5" w:rsidRPr="00CA2BA5">
        <w:rPr>
          <w:rFonts w:asciiTheme="majorHAnsi" w:hAnsiTheme="majorHAnsi"/>
        </w:rPr>
        <w:t xml:space="preserve">   </w:t>
      </w:r>
      <w:r w:rsidR="00CA2BA5" w:rsidRPr="00CA2BA5">
        <w:rPr>
          <w:rFonts w:asciiTheme="majorHAnsi" w:hAnsiTheme="majorHAnsi"/>
        </w:rPr>
        <w:tab/>
      </w:r>
      <w:r w:rsidR="00440419">
        <w:rPr>
          <w:rFonts w:asciiTheme="majorHAnsi" w:hAnsiTheme="majorHAnsi"/>
        </w:rPr>
        <w:t xml:space="preserve">                      </w:t>
      </w:r>
      <w:r w:rsidR="00CA2BA5" w:rsidRPr="00440419">
        <w:t>(3)</w:t>
      </w:r>
    </w:p>
    <w:p w14:paraId="26494A72" w14:textId="5868A2AE" w:rsidR="00CA2BA5" w:rsidRPr="00CA2BA5" w:rsidRDefault="00CA2BA5" w:rsidP="00CA2BA5">
      <w:pPr>
        <w:spacing w:after="240"/>
        <w:ind w:firstLine="567"/>
        <w:jc w:val="both"/>
      </w:pPr>
      <w:r w:rsidRPr="00CA2BA5">
        <w:t xml:space="preserve">Este programa matemático, a priori planteado como programa fraccional, puede transformarse en un programa lineal, sin más que suponer que </w:t>
      </w: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v</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ro</m:t>
                </m:r>
              </m:sub>
            </m:sSub>
          </m:e>
        </m:nary>
        <m:r>
          <w:rPr>
            <w:rFonts w:ascii="Cambria Math" w:hAnsi="Cambria Math"/>
          </w:rPr>
          <m:t>=1</m:t>
        </m:r>
      </m:oMath>
      <w:r w:rsidRPr="00CA2BA5">
        <w:t xml:space="preserve"> y transformar las </w:t>
      </w:r>
      <w:r w:rsidRPr="00CA2BA5">
        <w:rPr>
          <w:i/>
        </w:rPr>
        <w:t>n</w:t>
      </w:r>
      <w:r w:rsidRPr="00CA2BA5">
        <w:t xml:space="preserve"> restricciones del ratio de productividad de cada país por </w:t>
      </w:r>
      <m:oMath>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y</m:t>
                </m:r>
              </m:e>
              <m:sub>
                <m:r>
                  <w:rPr>
                    <w:rFonts w:ascii="Cambria Math" w:hAnsi="Cambria Math"/>
                  </w:rPr>
                  <m:t>ri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v</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ri</m:t>
                </m:r>
              </m:sub>
            </m:sSub>
          </m:e>
        </m:nary>
        <m:r>
          <w:rPr>
            <w:rFonts w:ascii="Cambria Math" w:hAnsi="Cambria Math"/>
            <w:i/>
          </w:rPr>
          <w:sym w:font="Symbol" w:char="F0A3"/>
        </m:r>
        <m:r>
          <w:rPr>
            <w:rFonts w:ascii="Cambria Math" w:hAnsi="Cambria Math"/>
          </w:rPr>
          <m:t xml:space="preserve"> 0</m:t>
        </m:r>
      </m:oMath>
      <w:r w:rsidRPr="00CA2BA5">
        <w:t xml:space="preserve">, </w:t>
      </w:r>
      <w:r w:rsidRPr="00CA2BA5">
        <w:rPr>
          <w:i/>
        </w:rPr>
        <w:t>i</w:t>
      </w:r>
      <w:r w:rsidRPr="00CA2BA5">
        <w:t>=1,2,…</w:t>
      </w:r>
      <w:r w:rsidRPr="00CA2BA5">
        <w:rPr>
          <w:i/>
        </w:rPr>
        <w:t>n</w:t>
      </w:r>
      <w:r w:rsidRPr="00CA2BA5">
        <w:t xml:space="preserve">. Así, si en programa de maximización </w:t>
      </w:r>
      <w:r w:rsidRPr="00CA2BA5">
        <w:rPr>
          <w:i/>
        </w:rPr>
        <w:sym w:font="Symbol" w:char="F071"/>
      </w:r>
      <w:r w:rsidRPr="00CA2BA5">
        <w:rPr>
          <w:i/>
          <w:vertAlign w:val="subscript"/>
        </w:rPr>
        <w:t>O</w:t>
      </w:r>
      <w:r w:rsidRPr="00CA2BA5">
        <w:t xml:space="preserve"> = 1, no podemos descartar que la unidad de decisión evaluada sea eficiente respecto al resto de la muestra mientras que si </w:t>
      </w:r>
      <w:r w:rsidRPr="00CA2BA5">
        <w:rPr>
          <w:i/>
        </w:rPr>
        <w:sym w:font="Symbol" w:char="F071"/>
      </w:r>
      <w:r w:rsidRPr="00CA2BA5">
        <w:rPr>
          <w:i/>
          <w:vertAlign w:val="subscript"/>
        </w:rPr>
        <w:t>O</w:t>
      </w:r>
      <w:r w:rsidRPr="00CA2BA5">
        <w:t xml:space="preserve"> &lt; 1 no hay ninguna duda de que la o-ésima unidad decisora es ineficiente. Según Sherman y Zhu (2006), el método DEA da a las UD el “beneficio de la duda” en el sentido en que el programa matemático (3) busca obtener los pesos </w:t>
      </w:r>
      <m:oMath>
        <m:sSub>
          <m:sSubPr>
            <m:ctrlPr>
              <w:rPr>
                <w:rFonts w:ascii="Cambria Math" w:hAnsi="Cambria Math"/>
                <w:i/>
              </w:rPr>
            </m:ctrlPr>
          </m:sSubPr>
          <m:e>
            <m:r>
              <w:rPr>
                <w:rFonts w:ascii="Cambria Math" w:hAnsi="Cambria Math"/>
              </w:rPr>
              <m:t>u</m:t>
            </m:r>
          </m:e>
          <m:sub>
            <m:r>
              <w:rPr>
                <w:rFonts w:ascii="Cambria Math" w:hAnsi="Cambria Math"/>
              </w:rPr>
              <m:t>r</m:t>
            </m:r>
          </m:sub>
        </m:sSub>
      </m:oMath>
      <w:r w:rsidRPr="00CA2BA5">
        <w:t xml:space="preserve"> y </w:t>
      </w:r>
      <m:oMath>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 xml:space="preserve"> </m:t>
        </m:r>
      </m:oMath>
      <w:r w:rsidRPr="00CA2BA5">
        <w:t>de tal manera que la unidad pr</w:t>
      </w:r>
      <w:r w:rsidR="0063016D">
        <w:t>oductiva evaluada sea presentado</w:t>
      </w:r>
      <w:r w:rsidRPr="00CA2BA5">
        <w:t xml:space="preserve"> como lo más eficiente posible en comparación del resto de UDs. </w:t>
      </w:r>
    </w:p>
    <w:p w14:paraId="4627CD19" w14:textId="0CFBBD39" w:rsidR="00CA2BA5" w:rsidRPr="00CA2BA5" w:rsidRDefault="00CA2BA5" w:rsidP="00CA2BA5">
      <w:pPr>
        <w:spacing w:after="240"/>
        <w:ind w:firstLine="567"/>
        <w:jc w:val="both"/>
      </w:pPr>
      <w:r w:rsidRPr="00CA2BA5">
        <w:t>Es más habitual resolver el programa (3) a partir del</w:t>
      </w:r>
      <w:r w:rsidR="0063016D">
        <w:t xml:space="preserve"> programa dual asociado a (3). É</w:t>
      </w:r>
      <w:r w:rsidRPr="00CA2BA5">
        <w:t>ste se plantea como:</w:t>
      </w:r>
    </w:p>
    <w:p w14:paraId="7FF4101F" w14:textId="77777777" w:rsidR="00CA2BA5" w:rsidRPr="00CA2BA5" w:rsidRDefault="00006FB0" w:rsidP="00CA2BA5">
      <w:pPr>
        <w:spacing w:after="240"/>
        <w:ind w:firstLine="567"/>
        <w:jc w:val="both"/>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m:t>
                  </m:r>
                  <m:sSub>
                    <m:sSubPr>
                      <m:ctrlPr>
                        <w:rPr>
                          <w:rFonts w:ascii="Cambria Math" w:hAnsi="Cambria Math"/>
                          <w:i/>
                        </w:rPr>
                      </m:ctrlPr>
                    </m:sSubPr>
                    <m:e>
                      <m:r>
                        <w:rPr>
                          <w:rFonts w:ascii="Cambria Math" w:hAnsi="Cambria Math"/>
                        </w:rPr>
                        <m:t>λ</m:t>
                      </m:r>
                    </m:e>
                    <m:sub>
                      <m:r>
                        <w:rPr>
                          <w:rFonts w:ascii="Cambria Math" w:hAnsi="Cambria Math"/>
                        </w:rPr>
                        <m:t>i</m:t>
                      </m:r>
                    </m:sub>
                  </m:sSub>
                </m:lim>
              </m:limLow>
            </m:fName>
            <m:e>
              <m:r>
                <w:rPr>
                  <w:rFonts w:ascii="Cambria Math" w:hAnsi="Cambria Math"/>
                </w:rPr>
                <m:t>θ</m:t>
              </m:r>
            </m:e>
          </m:func>
        </m:oMath>
      </m:oMathPara>
    </w:p>
    <w:p w14:paraId="511B5F82" w14:textId="77777777" w:rsidR="00CA2BA5" w:rsidRPr="00CA2BA5" w:rsidRDefault="00CA2BA5" w:rsidP="00440419">
      <w:pPr>
        <w:spacing w:after="120"/>
        <w:ind w:firstLine="567"/>
        <w:jc w:val="both"/>
      </w:pPr>
      <w:r w:rsidRPr="00CA2BA5">
        <w:t>sujeto a:</w:t>
      </w:r>
    </w:p>
    <w:p w14:paraId="222BEDF2" w14:textId="77777777" w:rsidR="00CA2BA5" w:rsidRPr="00CA2BA5" w:rsidRDefault="00006FB0" w:rsidP="00440419">
      <w:pPr>
        <w:spacing w:after="120"/>
        <w:ind w:firstLine="567"/>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ji</m:t>
                  </m:r>
                </m:sub>
              </m:sSub>
            </m:e>
          </m:nary>
          <m:r>
            <w:rPr>
              <w:rFonts w:ascii="Cambria Math" w:hAnsi="Cambria Math"/>
              <w:i/>
            </w:rPr>
            <w:sym w:font="Symbol" w:char="F0A3"/>
          </m:r>
          <m:r>
            <w:rPr>
              <w:rFonts w:ascii="Cambria Math" w:hAnsi="Cambria Math"/>
            </w:rPr>
            <m:t xml:space="preserve"> </m:t>
          </m:r>
          <m:r>
            <w:rPr>
              <w:rFonts w:ascii="Cambria Math" w:hAnsi="Cambria Math"/>
              <w:i/>
            </w:rPr>
            <w:sym w:font="Symbol" w:char="F071"/>
          </m:r>
          <m:sSub>
            <m:sSubPr>
              <m:ctrlPr>
                <w:rPr>
                  <w:rFonts w:ascii="Cambria Math" w:hAnsi="Cambria Math"/>
                  <w:i/>
                </w:rPr>
              </m:ctrlPr>
            </m:sSubPr>
            <m:e>
              <m:r>
                <w:rPr>
                  <w:rFonts w:ascii="Cambria Math" w:hAnsi="Cambria Math"/>
                </w:rPr>
                <m:t>x</m:t>
              </m:r>
            </m:e>
            <m:sub>
              <m:r>
                <w:rPr>
                  <w:rFonts w:ascii="Cambria Math" w:hAnsi="Cambria Math"/>
                </w:rPr>
                <m:t>jO</m:t>
              </m:r>
            </m:sub>
          </m:sSub>
          <m:r>
            <w:rPr>
              <w:rFonts w:ascii="Cambria Math" w:hAnsi="Cambria Math"/>
            </w:rPr>
            <m:t>, j=1,2,…,J</m:t>
          </m:r>
        </m:oMath>
      </m:oMathPara>
    </w:p>
    <w:p w14:paraId="0A543017" w14:textId="77777777" w:rsidR="00CA2BA5" w:rsidRPr="00CA2BA5" w:rsidRDefault="00006FB0" w:rsidP="00440419">
      <w:pPr>
        <w:spacing w:after="120"/>
        <w:ind w:firstLine="567"/>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ri</m:t>
                  </m:r>
                </m:sub>
              </m:sSub>
            </m:e>
          </m:nary>
          <m:r>
            <w:rPr>
              <w:rFonts w:ascii="Cambria Math" w:hAnsi="Cambria Math"/>
              <w:i/>
            </w:rPr>
            <w:sym w:font="Symbol" w:char="F0A3"/>
          </m:r>
          <m:sSub>
            <m:sSubPr>
              <m:ctrlPr>
                <w:rPr>
                  <w:rFonts w:ascii="Cambria Math" w:hAnsi="Cambria Math"/>
                  <w:i/>
                </w:rPr>
              </m:ctrlPr>
            </m:sSubPr>
            <m:e>
              <m:r>
                <w:rPr>
                  <w:rFonts w:ascii="Cambria Math" w:hAnsi="Cambria Math"/>
                </w:rPr>
                <m:t xml:space="preserve"> y</m:t>
              </m:r>
            </m:e>
            <m:sub>
              <m:r>
                <w:rPr>
                  <w:rFonts w:ascii="Cambria Math" w:hAnsi="Cambria Math"/>
                </w:rPr>
                <m:t>rO</m:t>
              </m:r>
            </m:sub>
          </m:sSub>
          <m:r>
            <w:rPr>
              <w:rFonts w:ascii="Cambria Math" w:hAnsi="Cambria Math"/>
            </w:rPr>
            <m:t>, r=1,2,…,R</m:t>
          </m:r>
        </m:oMath>
      </m:oMathPara>
    </w:p>
    <w:p w14:paraId="5AC5874B" w14:textId="77777777" w:rsidR="00CA2BA5" w:rsidRPr="00CA2BA5" w:rsidRDefault="00006FB0" w:rsidP="00440419">
      <w:pPr>
        <w:spacing w:after="120"/>
        <w:ind w:firstLine="567"/>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e>
          </m:nary>
          <m:r>
            <w:rPr>
              <w:rFonts w:ascii="Cambria Math" w:hAnsi="Cambria Math"/>
              <w:i/>
            </w:rPr>
            <w:sym w:font="Symbol" w:char="F0A3"/>
          </m:r>
          <m:r>
            <w:rPr>
              <w:rFonts w:ascii="Cambria Math" w:hAnsi="Cambria Math"/>
            </w:rPr>
            <m:t xml:space="preserve"> 1</m:t>
          </m:r>
        </m:oMath>
      </m:oMathPara>
    </w:p>
    <w:p w14:paraId="66E43723" w14:textId="70C99F6A" w:rsidR="00CA2BA5" w:rsidRPr="00CA2BA5" w:rsidRDefault="00006FB0" w:rsidP="00440419">
      <w:pPr>
        <w:spacing w:after="120"/>
        <w:ind w:left="2880" w:firstLine="720"/>
        <w:jc w:val="both"/>
      </w:pPr>
      <m:oMath>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r>
          <w:rPr>
            <w:rFonts w:ascii="Cambria Math" w:hAnsi="Cambria Math"/>
            <w:i/>
          </w:rPr>
          <w:sym w:font="Symbol" w:char="F0B3"/>
        </m:r>
        <m:r>
          <w:rPr>
            <w:rFonts w:ascii="Cambria Math" w:hAnsi="Cambria Math"/>
          </w:rPr>
          <m:t xml:space="preserve"> 0</m:t>
        </m:r>
      </m:oMath>
      <w:r w:rsidR="00CA2BA5" w:rsidRPr="00CA2BA5">
        <w:t xml:space="preserve">, </w:t>
      </w:r>
      <w:r w:rsidR="00CA2BA5" w:rsidRPr="00CA2BA5">
        <w:rPr>
          <w:i/>
        </w:rPr>
        <w:t>i</w:t>
      </w:r>
      <w:r w:rsidR="00CA2BA5" w:rsidRPr="00CA2BA5">
        <w:t xml:space="preserve">=1, 2, …, </w:t>
      </w:r>
      <w:r w:rsidR="00CA2BA5" w:rsidRPr="00CA2BA5">
        <w:rPr>
          <w:i/>
        </w:rPr>
        <w:t xml:space="preserve">n         </w:t>
      </w:r>
      <w:r w:rsidR="00440419">
        <w:rPr>
          <w:i/>
        </w:rPr>
        <w:tab/>
      </w:r>
      <w:r w:rsidR="00440419">
        <w:rPr>
          <w:i/>
        </w:rPr>
        <w:tab/>
      </w:r>
      <w:r w:rsidR="00440419">
        <w:rPr>
          <w:i/>
        </w:rPr>
        <w:tab/>
      </w:r>
      <w:r w:rsidR="00440419">
        <w:rPr>
          <w:i/>
        </w:rPr>
        <w:tab/>
      </w:r>
      <w:r w:rsidR="00440419">
        <w:rPr>
          <w:i/>
        </w:rPr>
        <w:tab/>
        <w:t xml:space="preserve">  </w:t>
      </w:r>
      <w:r w:rsidR="00440419" w:rsidRPr="00440419">
        <w:t>(</w:t>
      </w:r>
      <w:r w:rsidR="00CA2BA5" w:rsidRPr="00440419">
        <w:t>4</w:t>
      </w:r>
      <w:r w:rsidR="00440419">
        <w:t>)</w:t>
      </w:r>
    </w:p>
    <w:p w14:paraId="60806518" w14:textId="132A7ED4" w:rsidR="00380952" w:rsidRPr="00CA2BA5" w:rsidRDefault="002F2846" w:rsidP="00CA2BA5">
      <w:pPr>
        <w:spacing w:after="240"/>
        <w:ind w:firstLine="567"/>
        <w:jc w:val="both"/>
        <w:rPr>
          <w:rFonts w:eastAsia="Cambria"/>
          <w:lang w:eastAsia="en-US"/>
        </w:rPr>
      </w:pPr>
      <w:r>
        <w:t>d</w:t>
      </w:r>
      <w:r w:rsidR="00CA2BA5" w:rsidRPr="00CA2BA5">
        <w:t xml:space="preserve">onde la introducción en el programa (4) por Banker et al. (1984) de la restricción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e>
        </m:nary>
        <m:r>
          <w:rPr>
            <w:rFonts w:ascii="Cambria Math" w:hAnsi="Cambria Math"/>
            <w:i/>
          </w:rPr>
          <w:sym w:font="Symbol" w:char="F0A3"/>
        </m:r>
        <m:r>
          <w:rPr>
            <w:rFonts w:ascii="Cambria Math" w:hAnsi="Cambria Math"/>
          </w:rPr>
          <m:t xml:space="preserve"> 1</m:t>
        </m:r>
      </m:oMath>
      <w:r w:rsidR="00CA2BA5" w:rsidRPr="00CA2BA5">
        <w:t xml:space="preserve">  posibilita la consideración de que los rendimientos no sean constantes a escala.</w:t>
      </w:r>
    </w:p>
    <w:p w14:paraId="5A23745A" w14:textId="77777777" w:rsidR="002F2846" w:rsidRDefault="002F2846" w:rsidP="002F2846">
      <w:pPr>
        <w:spacing w:line="360" w:lineRule="auto"/>
        <w:jc w:val="both"/>
        <w:rPr>
          <w:b/>
          <w:sz w:val="24"/>
          <w:szCs w:val="24"/>
        </w:rPr>
      </w:pPr>
    </w:p>
    <w:p w14:paraId="04D8589A" w14:textId="77777777" w:rsidR="0063016D" w:rsidRDefault="0063016D">
      <w:pPr>
        <w:rPr>
          <w:b/>
          <w:szCs w:val="24"/>
        </w:rPr>
      </w:pPr>
      <w:r>
        <w:rPr>
          <w:b/>
          <w:szCs w:val="24"/>
        </w:rPr>
        <w:br w:type="page"/>
      </w:r>
    </w:p>
    <w:p w14:paraId="14599AB5" w14:textId="259FF720" w:rsidR="002F2846" w:rsidRPr="002F2846" w:rsidRDefault="002F2846" w:rsidP="002F2846">
      <w:pPr>
        <w:spacing w:after="240"/>
        <w:jc w:val="both"/>
        <w:rPr>
          <w:b/>
          <w:szCs w:val="24"/>
        </w:rPr>
      </w:pPr>
      <w:r w:rsidRPr="002F2846">
        <w:rPr>
          <w:b/>
          <w:szCs w:val="24"/>
        </w:rPr>
        <w:lastRenderedPageBreak/>
        <w:t>3.2</w:t>
      </w:r>
      <w:r>
        <w:rPr>
          <w:b/>
          <w:szCs w:val="24"/>
        </w:rPr>
        <w:t xml:space="preserve">. </w:t>
      </w:r>
      <w:r w:rsidRPr="002F2846">
        <w:rPr>
          <w:b/>
          <w:szCs w:val="24"/>
        </w:rPr>
        <w:t>Evaluación de la eficiencia del gasto social en la reducción absoluta del riesgo de pobreza (</w:t>
      </w:r>
      <w:r w:rsidRPr="002F2846">
        <w:rPr>
          <w:b/>
          <w:i/>
          <w:szCs w:val="24"/>
        </w:rPr>
        <w:t>RAP</w:t>
      </w:r>
      <w:r w:rsidRPr="002F2846">
        <w:rPr>
          <w:b/>
          <w:szCs w:val="24"/>
        </w:rPr>
        <w:t>) y de la disminución de la desigualdad (</w:t>
      </w:r>
      <w:r w:rsidRPr="002F2846">
        <w:rPr>
          <w:b/>
          <w:i/>
          <w:szCs w:val="24"/>
        </w:rPr>
        <w:t>RAG</w:t>
      </w:r>
      <w:r w:rsidRPr="002F2846">
        <w:rPr>
          <w:b/>
          <w:szCs w:val="24"/>
        </w:rPr>
        <w:t>)</w:t>
      </w:r>
      <w:r>
        <w:rPr>
          <w:b/>
          <w:szCs w:val="24"/>
        </w:rPr>
        <w:t>.</w:t>
      </w:r>
    </w:p>
    <w:p w14:paraId="4C90C408" w14:textId="027C0B08" w:rsidR="002F2846" w:rsidRPr="002F2846" w:rsidRDefault="002F2846" w:rsidP="002F2846">
      <w:pPr>
        <w:spacing w:after="240"/>
        <w:jc w:val="both"/>
        <w:rPr>
          <w:szCs w:val="24"/>
        </w:rPr>
      </w:pPr>
      <w:r w:rsidRPr="002F2846">
        <w:rPr>
          <w:szCs w:val="24"/>
        </w:rPr>
        <w:t xml:space="preserve">En primer lugar, se valora la eficiencia del </w:t>
      </w:r>
      <w:r w:rsidR="0063016D">
        <w:rPr>
          <w:szCs w:val="24"/>
        </w:rPr>
        <w:t>gasto social</w:t>
      </w:r>
      <w:r w:rsidRPr="002F2846">
        <w:rPr>
          <w:szCs w:val="24"/>
        </w:rPr>
        <w:t xml:space="preserve"> de los países de la UE de forma individual en la reducción absoluta de la tasa de pobreza, </w:t>
      </w:r>
      <w:r w:rsidRPr="002F2846">
        <w:rPr>
          <w:i/>
          <w:szCs w:val="24"/>
        </w:rPr>
        <w:t>RAP</w:t>
      </w:r>
      <w:r w:rsidRPr="002F2846">
        <w:rPr>
          <w:szCs w:val="24"/>
        </w:rPr>
        <w:t xml:space="preserve"> y en la disminución absoluta de la desigualdad de rentas, </w:t>
      </w:r>
      <w:r w:rsidRPr="002F2846">
        <w:rPr>
          <w:i/>
          <w:szCs w:val="24"/>
        </w:rPr>
        <w:t>RAG</w:t>
      </w:r>
      <w:r w:rsidRPr="002F2846">
        <w:rPr>
          <w:szCs w:val="24"/>
        </w:rPr>
        <w:t>. Se considera en ambos casos como factores determinantes el gasto social (</w:t>
      </w:r>
      <w:r w:rsidRPr="002F2846">
        <w:rPr>
          <w:i/>
          <w:szCs w:val="24"/>
        </w:rPr>
        <w:t>GS</w:t>
      </w:r>
      <w:r w:rsidRPr="002F2846">
        <w:rPr>
          <w:szCs w:val="24"/>
        </w:rPr>
        <w:t xml:space="preserve">) y el riesgo de pobreza y el índice de Gini antes de prestaciones. Posteriormente, se valora el logro conjunto de ambos objetivos. Se aplica en todos los casos la metodología DEA </w:t>
      </w:r>
      <w:r w:rsidR="0063016D">
        <w:rPr>
          <w:szCs w:val="24"/>
        </w:rPr>
        <w:t>descrita, con el programa dual (</w:t>
      </w:r>
      <w:r w:rsidRPr="002F2846">
        <w:rPr>
          <w:szCs w:val="24"/>
        </w:rPr>
        <w:t>4</w:t>
      </w:r>
      <w:r w:rsidR="0063016D">
        <w:rPr>
          <w:szCs w:val="24"/>
        </w:rPr>
        <w:t>)</w:t>
      </w:r>
      <w:r w:rsidRPr="002F2846">
        <w:rPr>
          <w:szCs w:val="24"/>
        </w:rPr>
        <w:t xml:space="preserve">. Así, para evaluar la eficiencia del gasto social del </w:t>
      </w:r>
      <w:r w:rsidRPr="002F2846">
        <w:rPr>
          <w:i/>
          <w:szCs w:val="24"/>
        </w:rPr>
        <w:t>o-ésimo</w:t>
      </w:r>
      <w:r w:rsidRPr="002F2846">
        <w:rPr>
          <w:szCs w:val="24"/>
        </w:rPr>
        <w:t xml:space="preserve"> estado en la reducción de la pobreza exclusivamente planteamos:</w:t>
      </w:r>
    </w:p>
    <w:p w14:paraId="4601375F" w14:textId="77777777" w:rsidR="00E541B1" w:rsidRPr="00E541B1" w:rsidRDefault="00006FB0" w:rsidP="00E541B1">
      <w:pPr>
        <w:spacing w:after="240"/>
        <w:jc w:val="both"/>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m:t>
                  </m:r>
                  <m:sSub>
                    <m:sSubPr>
                      <m:ctrlPr>
                        <w:rPr>
                          <w:rFonts w:ascii="Cambria Math" w:hAnsi="Cambria Math"/>
                          <w:i/>
                        </w:rPr>
                      </m:ctrlPr>
                    </m:sSubPr>
                    <m:e>
                      <m:r>
                        <w:rPr>
                          <w:rFonts w:ascii="Cambria Math" w:hAnsi="Cambria Math"/>
                        </w:rPr>
                        <m:t>λ</m:t>
                      </m:r>
                    </m:e>
                    <m:sub>
                      <m:r>
                        <w:rPr>
                          <w:rFonts w:ascii="Cambria Math" w:hAnsi="Cambria Math"/>
                        </w:rPr>
                        <m:t>i</m:t>
                      </m:r>
                    </m:sub>
                  </m:sSub>
                </m:lim>
              </m:limLow>
            </m:fName>
            <m:e>
              <m:r>
                <w:rPr>
                  <w:rFonts w:ascii="Cambria Math" w:hAnsi="Cambria Math"/>
                </w:rPr>
                <m:t>θ</m:t>
              </m:r>
            </m:e>
          </m:func>
        </m:oMath>
      </m:oMathPara>
    </w:p>
    <w:p w14:paraId="37B61E17" w14:textId="239CAEC8" w:rsidR="00E541B1" w:rsidRPr="00E541B1" w:rsidRDefault="0063016D" w:rsidP="00E541B1">
      <w:pPr>
        <w:spacing w:after="240"/>
        <w:ind w:firstLine="567"/>
        <w:jc w:val="both"/>
      </w:pPr>
      <w:r>
        <w:t>s</w:t>
      </w:r>
      <w:r w:rsidR="00E541B1" w:rsidRPr="00E541B1">
        <w:t xml:space="preserve">ujeto a: </w:t>
      </w:r>
    </w:p>
    <w:p w14:paraId="60AD2561" w14:textId="760066A3" w:rsidR="00E541B1" w:rsidRPr="00753271" w:rsidRDefault="00006FB0" w:rsidP="005F1A1A">
      <w:pPr>
        <w:tabs>
          <w:tab w:val="left" w:pos="0"/>
        </w:tabs>
        <w:spacing w:after="240"/>
        <w:jc w:val="both"/>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GS</m:t>
                  </m:r>
                </m:e>
                <m:sub>
                  <m:r>
                    <w:rPr>
                      <w:rFonts w:ascii="Cambria Math" w:hAnsi="Cambria Math"/>
                    </w:rPr>
                    <m:t>i</m:t>
                  </m:r>
                </m:sub>
              </m:sSub>
            </m:e>
          </m:nary>
          <m:r>
            <w:rPr>
              <w:rFonts w:ascii="Cambria Math" w:hAnsi="Cambria Math"/>
            </w:rPr>
            <m:t>≤θ</m:t>
          </m:r>
          <m:sSub>
            <m:sSubPr>
              <m:ctrlPr>
                <w:rPr>
                  <w:rFonts w:ascii="Cambria Math" w:hAnsi="Cambria Math"/>
                  <w:i/>
                </w:rPr>
              </m:ctrlPr>
            </m:sSubPr>
            <m:e>
              <m:r>
                <w:rPr>
                  <w:rFonts w:ascii="Cambria Math" w:hAnsi="Cambria Math"/>
                </w:rPr>
                <m:t>GS</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RPa</m:t>
                  </m:r>
                </m:e>
                <m:sub>
                  <m:r>
                    <w:rPr>
                      <w:rFonts w:ascii="Cambria Math" w:hAnsi="Cambria Math"/>
                    </w:rPr>
                    <m:t>i</m:t>
                  </m:r>
                </m:sub>
              </m:sSub>
            </m:e>
          </m:nary>
          <m:r>
            <w:rPr>
              <w:rFonts w:ascii="Cambria Math" w:hAnsi="Cambria Math"/>
            </w:rPr>
            <m:t>≤θ</m:t>
          </m:r>
          <m:sSub>
            <m:sSubPr>
              <m:ctrlPr>
                <w:rPr>
                  <w:rFonts w:ascii="Cambria Math" w:hAnsi="Cambria Math"/>
                  <w:i/>
                </w:rPr>
              </m:ctrlPr>
            </m:sSubPr>
            <m:e>
              <m:r>
                <w:rPr>
                  <w:rFonts w:ascii="Cambria Math" w:hAnsi="Cambria Math"/>
                </w:rPr>
                <m:t>RPa</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RAP</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RAP</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e>
          </m:nary>
          <m:r>
            <w:rPr>
              <w:rFonts w:ascii="Cambria Math" w:hAnsi="Cambria Math"/>
              <w:i/>
            </w:rPr>
            <w:sym w:font="Symbol" w:char="F0A3"/>
          </m:r>
          <m:r>
            <w:rPr>
              <w:rFonts w:ascii="Cambria Math" w:hAnsi="Cambria Math"/>
            </w:rPr>
            <m:t xml:space="preserve">1; </m:t>
          </m:r>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r>
            <w:rPr>
              <w:rFonts w:ascii="Cambria Math" w:hAnsi="Cambria Math"/>
            </w:rPr>
            <m:t xml:space="preserve"> </m:t>
          </m:r>
          <m:r>
            <w:rPr>
              <w:rFonts w:ascii="Cambria Math" w:hAnsi="Cambria Math"/>
              <w:i/>
            </w:rPr>
            <w:sym w:font="Symbol" w:char="F0B3"/>
          </m:r>
          <m:r>
            <w:rPr>
              <w:rFonts w:ascii="Cambria Math" w:hAnsi="Cambria Math"/>
            </w:rPr>
            <m:t xml:space="preserve"> 0, i=1,2,…,15</m:t>
          </m:r>
        </m:oMath>
      </m:oMathPara>
    </w:p>
    <w:p w14:paraId="11B7E176" w14:textId="0EB191CA" w:rsidR="00E541B1" w:rsidRDefault="00E541B1" w:rsidP="00E541B1">
      <w:pPr>
        <w:spacing w:after="240"/>
        <w:jc w:val="both"/>
      </w:pPr>
      <w:r>
        <w:t>(</w:t>
      </w:r>
      <w:r w:rsidRPr="00E541B1">
        <w:t>5</w:t>
      </w:r>
      <w:r>
        <w:t>)</w:t>
      </w:r>
    </w:p>
    <w:p w14:paraId="602524D4" w14:textId="2C9CAD7A" w:rsidR="00E541B1" w:rsidRPr="00E541B1" w:rsidRDefault="00E541B1" w:rsidP="00E541B1">
      <w:pPr>
        <w:spacing w:after="240"/>
        <w:ind w:firstLine="567"/>
        <w:jc w:val="both"/>
        <w:rPr>
          <w:rFonts w:eastAsia="Times New Roman"/>
        </w:rPr>
      </w:pPr>
      <w:r w:rsidRPr="00E541B1">
        <w:rPr>
          <w:rFonts w:eastAsia="Times New Roman"/>
        </w:rPr>
        <w:t xml:space="preserve">Para determinar la eficiencia en la disminución de la desigualdad de rentas basta con plantear un programa análogo a (5) donde </w:t>
      </w:r>
      <w:r w:rsidRPr="00E541B1">
        <w:rPr>
          <w:rFonts w:eastAsia="Times New Roman"/>
          <w:i/>
        </w:rPr>
        <w:t>RPa</w:t>
      </w:r>
      <w:r w:rsidRPr="00E541B1">
        <w:rPr>
          <w:rFonts w:eastAsia="Times New Roman"/>
          <w:i/>
          <w:vertAlign w:val="subscript"/>
        </w:rPr>
        <w:t>i</w:t>
      </w:r>
      <w:r w:rsidRPr="00E541B1">
        <w:rPr>
          <w:rFonts w:eastAsia="Times New Roman"/>
        </w:rPr>
        <w:t xml:space="preserve"> quedará sustituido por </w:t>
      </w:r>
      <w:r w:rsidRPr="00E541B1">
        <w:rPr>
          <w:rFonts w:eastAsia="Times New Roman"/>
          <w:i/>
        </w:rPr>
        <w:t>IGa</w:t>
      </w:r>
      <w:r w:rsidRPr="00E541B1">
        <w:rPr>
          <w:rFonts w:eastAsia="Times New Roman"/>
          <w:i/>
          <w:vertAlign w:val="subscript"/>
        </w:rPr>
        <w:t>i</w:t>
      </w:r>
      <w:r w:rsidRPr="00E541B1">
        <w:rPr>
          <w:rFonts w:eastAsia="Times New Roman"/>
        </w:rPr>
        <w:t xml:space="preserve"> y </w:t>
      </w:r>
      <w:r w:rsidRPr="00E541B1">
        <w:rPr>
          <w:rFonts w:eastAsia="Times New Roman"/>
          <w:i/>
        </w:rPr>
        <w:t>RAP</w:t>
      </w:r>
      <w:r w:rsidRPr="00E541B1">
        <w:rPr>
          <w:rFonts w:eastAsia="Times New Roman"/>
          <w:i/>
          <w:vertAlign w:val="subscript"/>
        </w:rPr>
        <w:t>i</w:t>
      </w:r>
      <w:r w:rsidRPr="00E541B1">
        <w:rPr>
          <w:rFonts w:eastAsia="Times New Roman"/>
        </w:rPr>
        <w:t xml:space="preserve"> debe reemplazarse por </w:t>
      </w:r>
      <w:r w:rsidRPr="00E541B1">
        <w:rPr>
          <w:rFonts w:eastAsia="Times New Roman"/>
          <w:i/>
        </w:rPr>
        <w:t>RAG</w:t>
      </w:r>
      <w:r w:rsidRPr="00E541B1">
        <w:rPr>
          <w:rFonts w:eastAsia="Times New Roman"/>
          <w:i/>
          <w:vertAlign w:val="subscript"/>
        </w:rPr>
        <w:t>i</w:t>
      </w:r>
      <w:r w:rsidRPr="00E541B1">
        <w:rPr>
          <w:rFonts w:eastAsia="Times New Roman"/>
        </w:rPr>
        <w:t>. Concretamente plantearíamos:</w:t>
      </w:r>
    </w:p>
    <w:p w14:paraId="0C02B40F" w14:textId="77777777" w:rsidR="00E541B1" w:rsidRPr="00E541B1" w:rsidRDefault="00006FB0" w:rsidP="00E541B1">
      <w:pPr>
        <w:spacing w:after="240"/>
        <w:ind w:firstLine="567"/>
        <w:jc w:val="both"/>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m:t>
                  </m:r>
                  <m:sSub>
                    <m:sSubPr>
                      <m:ctrlPr>
                        <w:rPr>
                          <w:rFonts w:ascii="Cambria Math" w:hAnsi="Cambria Math"/>
                          <w:i/>
                        </w:rPr>
                      </m:ctrlPr>
                    </m:sSubPr>
                    <m:e>
                      <m:r>
                        <w:rPr>
                          <w:rFonts w:ascii="Cambria Math" w:hAnsi="Cambria Math"/>
                        </w:rPr>
                        <m:t>λ</m:t>
                      </m:r>
                    </m:e>
                    <m:sub>
                      <m:r>
                        <w:rPr>
                          <w:rFonts w:ascii="Cambria Math" w:hAnsi="Cambria Math"/>
                        </w:rPr>
                        <m:t>i</m:t>
                      </m:r>
                    </m:sub>
                  </m:sSub>
                </m:lim>
              </m:limLow>
            </m:fName>
            <m:e>
              <m:r>
                <w:rPr>
                  <w:rFonts w:ascii="Cambria Math" w:hAnsi="Cambria Math"/>
                </w:rPr>
                <m:t>θ</m:t>
              </m:r>
            </m:e>
          </m:func>
        </m:oMath>
      </m:oMathPara>
    </w:p>
    <w:p w14:paraId="113BD520" w14:textId="31985228" w:rsidR="00E541B1" w:rsidRPr="00E541B1" w:rsidRDefault="0063016D" w:rsidP="00E541B1">
      <w:pPr>
        <w:spacing w:after="240"/>
        <w:ind w:firstLine="567"/>
        <w:jc w:val="both"/>
      </w:pPr>
      <w:r>
        <w:t>s</w:t>
      </w:r>
      <w:r w:rsidR="00E541B1" w:rsidRPr="00E541B1">
        <w:t xml:space="preserve">ujeto a: </w:t>
      </w:r>
    </w:p>
    <w:p w14:paraId="29728C41" w14:textId="2F460788" w:rsidR="00E541B1" w:rsidRPr="00E541B1" w:rsidRDefault="00006FB0" w:rsidP="00394AD0">
      <w:pPr>
        <w:spacing w:after="240"/>
        <w:ind w:right="-478"/>
        <w:jc w:val="both"/>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GS</m:t>
                </m:r>
              </m:e>
              <m:sub>
                <m:r>
                  <w:rPr>
                    <w:rFonts w:ascii="Cambria Math" w:hAnsi="Cambria Math"/>
                  </w:rPr>
                  <m:t>i</m:t>
                </m:r>
              </m:sub>
            </m:sSub>
          </m:e>
        </m:nary>
        <m:r>
          <w:rPr>
            <w:rFonts w:ascii="Cambria Math" w:hAnsi="Cambria Math"/>
          </w:rPr>
          <m:t>≤θ</m:t>
        </m:r>
        <m:sSub>
          <m:sSubPr>
            <m:ctrlPr>
              <w:rPr>
                <w:rFonts w:ascii="Cambria Math" w:hAnsi="Cambria Math"/>
                <w:i/>
              </w:rPr>
            </m:ctrlPr>
          </m:sSubPr>
          <m:e>
            <m:r>
              <w:rPr>
                <w:rFonts w:ascii="Cambria Math" w:hAnsi="Cambria Math"/>
              </w:rPr>
              <m:t>GS</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RGa</m:t>
                </m:r>
              </m:e>
              <m:sub>
                <m:r>
                  <w:rPr>
                    <w:rFonts w:ascii="Cambria Math" w:hAnsi="Cambria Math"/>
                  </w:rPr>
                  <m:t>i</m:t>
                </m:r>
              </m:sub>
            </m:sSub>
          </m:e>
        </m:nary>
        <m:r>
          <w:rPr>
            <w:rFonts w:ascii="Cambria Math" w:hAnsi="Cambria Math"/>
          </w:rPr>
          <m:t>≤θ</m:t>
        </m:r>
        <m:sSub>
          <m:sSubPr>
            <m:ctrlPr>
              <w:rPr>
                <w:rFonts w:ascii="Cambria Math" w:hAnsi="Cambria Math"/>
                <w:i/>
              </w:rPr>
            </m:ctrlPr>
          </m:sSubPr>
          <m:e>
            <m:r>
              <w:rPr>
                <w:rFonts w:ascii="Cambria Math" w:hAnsi="Cambria Math"/>
              </w:rPr>
              <m:t>RGa</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RAG</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RAG</m:t>
            </m:r>
          </m:e>
          <m:sub>
            <m:r>
              <w:rPr>
                <w:rFonts w:ascii="Cambria Math" w:hAnsi="Cambria Math"/>
              </w:rPr>
              <m:t>o</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e>
        </m:nary>
        <m:r>
          <w:rPr>
            <w:rFonts w:ascii="Cambria Math" w:hAnsi="Cambria Math"/>
            <w:i/>
          </w:rPr>
          <w:sym w:font="Symbol" w:char="F0A3"/>
        </m:r>
        <m:r>
          <w:rPr>
            <w:rFonts w:ascii="Cambria Math" w:hAnsi="Cambria Math"/>
          </w:rPr>
          <m:t xml:space="preserve"> 1;</m:t>
        </m:r>
        <m:sSub>
          <m:sSubPr>
            <m:ctrlPr>
              <w:rPr>
                <w:rFonts w:ascii="Cambria Math" w:hAnsi="Cambria Math"/>
                <w:i/>
              </w:rPr>
            </m:ctrlPr>
          </m:sSubPr>
          <m:e>
            <m:r>
              <w:rPr>
                <w:rFonts w:ascii="Cambria Math" w:hAnsi="Cambria Math"/>
                <w:i/>
              </w:rPr>
              <w:sym w:font="Symbol" w:char="F06C"/>
            </m:r>
          </m:e>
          <m:sub>
            <m:r>
              <w:rPr>
                <w:rFonts w:ascii="Cambria Math" w:hAnsi="Cambria Math"/>
              </w:rPr>
              <m:t xml:space="preserve">i </m:t>
            </m:r>
          </m:sub>
        </m:sSub>
        <m:r>
          <w:rPr>
            <w:rFonts w:ascii="Cambria Math" w:hAnsi="Cambria Math"/>
            <w:i/>
          </w:rPr>
          <w:sym w:font="Symbol" w:char="F0B3"/>
        </m:r>
        <m:r>
          <w:rPr>
            <w:rFonts w:ascii="Cambria Math" w:hAnsi="Cambria Math"/>
          </w:rPr>
          <m:t xml:space="preserve"> 0, i=1,2,…,15</m:t>
        </m:r>
      </m:oMath>
      <w:r w:rsidR="00394AD0">
        <w:t xml:space="preserve">  </w:t>
      </w:r>
      <w:r w:rsidR="00753271">
        <w:t>(</w:t>
      </w:r>
      <w:r w:rsidR="00E541B1" w:rsidRPr="00E541B1">
        <w:t>6</w:t>
      </w:r>
      <w:r w:rsidR="00753271">
        <w:t>)</w:t>
      </w:r>
    </w:p>
    <w:p w14:paraId="2A7B721B" w14:textId="77777777" w:rsidR="00E541B1" w:rsidRPr="00E541B1" w:rsidRDefault="00E541B1" w:rsidP="00E541B1">
      <w:pPr>
        <w:spacing w:after="240"/>
        <w:ind w:firstLine="567"/>
        <w:jc w:val="both"/>
        <w:rPr>
          <w:rFonts w:eastAsia="Times New Roman"/>
        </w:rPr>
      </w:pPr>
      <w:r w:rsidRPr="00E541B1">
        <w:rPr>
          <w:rFonts w:eastAsia="Times New Roman"/>
        </w:rPr>
        <w:t xml:space="preserve">La utilización de los métodos DEA permite la evaluación conjunta de </w:t>
      </w:r>
      <w:r w:rsidRPr="00E541B1">
        <w:rPr>
          <w:rFonts w:eastAsia="Times New Roman"/>
          <w:i/>
        </w:rPr>
        <w:t>RAP</w:t>
      </w:r>
      <w:r w:rsidRPr="00E541B1">
        <w:rPr>
          <w:rFonts w:eastAsia="Times New Roman"/>
        </w:rPr>
        <w:t xml:space="preserve"> y </w:t>
      </w:r>
      <w:r w:rsidRPr="00E541B1">
        <w:rPr>
          <w:rFonts w:eastAsia="Times New Roman"/>
          <w:i/>
        </w:rPr>
        <w:t>RAG</w:t>
      </w:r>
      <w:r w:rsidRPr="00E541B1">
        <w:rPr>
          <w:rFonts w:eastAsia="Times New Roman"/>
        </w:rPr>
        <w:t>. Para ello planteamos un programa matemático que combine (5) y (6) de la siguiente forma:</w:t>
      </w:r>
    </w:p>
    <w:p w14:paraId="5CD53D24" w14:textId="77777777" w:rsidR="00E541B1" w:rsidRPr="00E541B1" w:rsidRDefault="00006FB0" w:rsidP="00E541B1">
      <w:pPr>
        <w:spacing w:after="240"/>
        <w:ind w:firstLine="567"/>
        <w:jc w:val="both"/>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m:t>
                  </m:r>
                  <m:sSub>
                    <m:sSubPr>
                      <m:ctrlPr>
                        <w:rPr>
                          <w:rFonts w:ascii="Cambria Math" w:hAnsi="Cambria Math"/>
                          <w:i/>
                        </w:rPr>
                      </m:ctrlPr>
                    </m:sSubPr>
                    <m:e>
                      <m:r>
                        <w:rPr>
                          <w:rFonts w:ascii="Cambria Math" w:hAnsi="Cambria Math"/>
                        </w:rPr>
                        <m:t>λ</m:t>
                      </m:r>
                    </m:e>
                    <m:sub>
                      <m:r>
                        <w:rPr>
                          <w:rFonts w:ascii="Cambria Math" w:hAnsi="Cambria Math"/>
                        </w:rPr>
                        <m:t>i</m:t>
                      </m:r>
                    </m:sub>
                  </m:sSub>
                </m:lim>
              </m:limLow>
            </m:fName>
            <m:e>
              <m:r>
                <w:rPr>
                  <w:rFonts w:ascii="Cambria Math" w:hAnsi="Cambria Math"/>
                </w:rPr>
                <m:t>θ</m:t>
              </m:r>
            </m:e>
          </m:func>
        </m:oMath>
      </m:oMathPara>
    </w:p>
    <w:p w14:paraId="7B9764EB" w14:textId="44B8DB1E" w:rsidR="00E541B1" w:rsidRPr="00E541B1" w:rsidRDefault="0063016D" w:rsidP="00E541B1">
      <w:pPr>
        <w:spacing w:after="240"/>
        <w:ind w:firstLine="567"/>
        <w:jc w:val="both"/>
      </w:pPr>
      <w:r>
        <w:t>s</w:t>
      </w:r>
      <w:r w:rsidR="00E541B1" w:rsidRPr="00E541B1">
        <w:t>ujeto a:</w:t>
      </w:r>
    </w:p>
    <w:p w14:paraId="7A077936" w14:textId="77777777" w:rsidR="00E541B1" w:rsidRPr="00E541B1" w:rsidRDefault="00006FB0" w:rsidP="00E541B1">
      <w:pPr>
        <w:spacing w:after="240"/>
        <w:ind w:firstLine="567"/>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GS</m:t>
                  </m:r>
                </m:e>
                <m:sub>
                  <m:r>
                    <w:rPr>
                      <w:rFonts w:ascii="Cambria Math" w:hAnsi="Cambria Math"/>
                    </w:rPr>
                    <m:t>i</m:t>
                  </m:r>
                </m:sub>
              </m:sSub>
            </m:e>
          </m:nary>
          <m:r>
            <w:rPr>
              <w:rFonts w:ascii="Cambria Math" w:hAnsi="Cambria Math"/>
            </w:rPr>
            <m:t>≤ θ</m:t>
          </m:r>
          <m:sSub>
            <m:sSubPr>
              <m:ctrlPr>
                <w:rPr>
                  <w:rFonts w:ascii="Cambria Math" w:hAnsi="Cambria Math"/>
                  <w:i/>
                </w:rPr>
              </m:ctrlPr>
            </m:sSubPr>
            <m:e>
              <m:r>
                <w:rPr>
                  <w:rFonts w:ascii="Cambria Math" w:hAnsi="Cambria Math"/>
                </w:rPr>
                <m:t>GS</m:t>
              </m:r>
            </m:e>
            <m:sub>
              <m:r>
                <w:rPr>
                  <w:rFonts w:ascii="Cambria Math" w:hAnsi="Cambria Math"/>
                </w:rPr>
                <m:t>o</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RPa</m:t>
                  </m:r>
                </m:e>
                <m:sub>
                  <m:r>
                    <w:rPr>
                      <w:rFonts w:ascii="Cambria Math" w:hAnsi="Cambria Math"/>
                    </w:rPr>
                    <m:t>i</m:t>
                  </m:r>
                </m:sub>
              </m:sSub>
            </m:e>
          </m:nary>
          <m:r>
            <w:rPr>
              <w:rFonts w:ascii="Cambria Math" w:hAnsi="Cambria Math"/>
            </w:rPr>
            <m:t>≤ θ</m:t>
          </m:r>
          <m:sSub>
            <m:sSubPr>
              <m:ctrlPr>
                <w:rPr>
                  <w:rFonts w:ascii="Cambria Math" w:hAnsi="Cambria Math"/>
                  <w:i/>
                </w:rPr>
              </m:ctrlPr>
            </m:sSubPr>
            <m:e>
              <m:r>
                <w:rPr>
                  <w:rFonts w:ascii="Cambria Math" w:hAnsi="Cambria Math"/>
                </w:rPr>
                <m:t>RPa</m:t>
              </m:r>
            </m:e>
            <m:sub>
              <m:r>
                <w:rPr>
                  <w:rFonts w:ascii="Cambria Math" w:hAnsi="Cambria Math"/>
                </w:rPr>
                <m:t>o</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IGa</m:t>
                  </m:r>
                </m:e>
                <m:sub>
                  <m:r>
                    <w:rPr>
                      <w:rFonts w:ascii="Cambria Math" w:hAnsi="Cambria Math"/>
                    </w:rPr>
                    <m:t>i</m:t>
                  </m:r>
                </m:sub>
              </m:sSub>
            </m:e>
          </m:nary>
          <m:r>
            <w:rPr>
              <w:rFonts w:ascii="Cambria Math" w:hAnsi="Cambria Math"/>
            </w:rPr>
            <m:t>≤ θ</m:t>
          </m:r>
          <m:sSub>
            <m:sSubPr>
              <m:ctrlPr>
                <w:rPr>
                  <w:rFonts w:ascii="Cambria Math" w:hAnsi="Cambria Math"/>
                  <w:i/>
                </w:rPr>
              </m:ctrlPr>
            </m:sSubPr>
            <m:e>
              <m:r>
                <w:rPr>
                  <w:rFonts w:ascii="Cambria Math" w:hAnsi="Cambria Math"/>
                </w:rPr>
                <m:t>IGa</m:t>
              </m:r>
            </m:e>
            <m:sub>
              <m:r>
                <w:rPr>
                  <w:rFonts w:ascii="Cambria Math" w:hAnsi="Cambria Math"/>
                </w:rPr>
                <m:t>o</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RAP</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r>
                <w:rPr>
                  <w:rFonts w:ascii="Cambria Math" w:hAnsi="Cambria Math"/>
                </w:rPr>
                <m:t>RAP</m:t>
              </m:r>
            </m:e>
            <m:sub>
              <m:r>
                <w:rPr>
                  <w:rFonts w:ascii="Cambria Math" w:hAnsi="Cambria Math"/>
                </w:rPr>
                <m:t>o</m:t>
              </m:r>
            </m:sub>
          </m:sSub>
          <m:r>
            <w:rPr>
              <w:rFonts w:ascii="Cambria Math" w:hAnsi="Cambria Math"/>
            </w:rPr>
            <m:t xml:space="preserve">; </m:t>
          </m:r>
        </m:oMath>
      </m:oMathPara>
    </w:p>
    <w:p w14:paraId="301C12E6" w14:textId="4172226E" w:rsidR="00E541B1" w:rsidRPr="00E541B1" w:rsidRDefault="00006FB0" w:rsidP="00394AD0">
      <w:pPr>
        <w:spacing w:after="240"/>
        <w:ind w:firstLine="567"/>
        <w:jc w:val="both"/>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sSub>
              <m:sSubPr>
                <m:ctrlPr>
                  <w:rPr>
                    <w:rFonts w:ascii="Cambria Math" w:hAnsi="Cambria Math"/>
                    <w:i/>
                  </w:rPr>
                </m:ctrlPr>
              </m:sSubPr>
              <m:e>
                <m:r>
                  <w:rPr>
                    <w:rFonts w:ascii="Cambria Math" w:hAnsi="Cambria Math"/>
                  </w:rPr>
                  <m:t>RAG</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r>
              <w:rPr>
                <w:rFonts w:ascii="Cambria Math" w:hAnsi="Cambria Math"/>
              </w:rPr>
              <m:t>RAG</m:t>
            </m:r>
          </m:e>
          <m:sub>
            <m:r>
              <w:rPr>
                <w:rFonts w:ascii="Cambria Math" w:hAnsi="Cambria Math"/>
              </w:rPr>
              <m:t>o</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15</m:t>
            </m:r>
          </m:sup>
          <m:e>
            <m:sSub>
              <m:sSubPr>
                <m:ctrlPr>
                  <w:rPr>
                    <w:rFonts w:ascii="Cambria Math" w:hAnsi="Cambria Math"/>
                    <w:i/>
                  </w:rPr>
                </m:ctrlPr>
              </m:sSubPr>
              <m:e>
                <m:r>
                  <w:rPr>
                    <w:rFonts w:ascii="Cambria Math" w:hAnsi="Cambria Math"/>
                    <w:i/>
                  </w:rPr>
                  <w:sym w:font="Symbol" w:char="F06C"/>
                </m:r>
              </m:e>
              <m:sub>
                <m:r>
                  <w:rPr>
                    <w:rFonts w:ascii="Cambria Math" w:hAnsi="Cambria Math"/>
                  </w:rPr>
                  <m:t>i</m:t>
                </m:r>
              </m:sub>
            </m:sSub>
          </m:e>
        </m:nary>
        <m:r>
          <w:rPr>
            <w:rFonts w:ascii="Cambria Math" w:hAnsi="Cambria Math"/>
            <w:i/>
          </w:rPr>
          <w:sym w:font="Symbol" w:char="F0A3"/>
        </m:r>
        <m:r>
          <w:rPr>
            <w:rFonts w:ascii="Cambria Math" w:hAnsi="Cambria Math"/>
          </w:rPr>
          <m:t xml:space="preserve"> 1; </m:t>
        </m:r>
        <m:sSub>
          <m:sSubPr>
            <m:ctrlPr>
              <w:rPr>
                <w:rFonts w:ascii="Cambria Math" w:hAnsi="Cambria Math"/>
                <w:i/>
              </w:rPr>
            </m:ctrlPr>
          </m:sSubPr>
          <m:e>
            <m:r>
              <w:rPr>
                <w:rFonts w:ascii="Cambria Math" w:hAnsi="Cambria Math"/>
                <w:i/>
              </w:rPr>
              <w:sym w:font="Symbol" w:char="F06C"/>
            </m:r>
          </m:e>
          <m:sub>
            <m:r>
              <w:rPr>
                <w:rFonts w:ascii="Cambria Math" w:hAnsi="Cambria Math"/>
              </w:rPr>
              <m:t xml:space="preserve">i </m:t>
            </m:r>
          </m:sub>
        </m:sSub>
        <m:r>
          <w:rPr>
            <w:rFonts w:ascii="Cambria Math" w:hAnsi="Cambria Math"/>
            <w:i/>
          </w:rPr>
          <w:sym w:font="Symbol" w:char="F0B3"/>
        </m:r>
        <m:r>
          <w:rPr>
            <w:rFonts w:ascii="Cambria Math" w:hAnsi="Cambria Math"/>
          </w:rPr>
          <m:t xml:space="preserve"> 0, i=1,2,…,15</m:t>
        </m:r>
      </m:oMath>
      <w:r w:rsidR="00394AD0">
        <w:t xml:space="preserve">  </w:t>
      </w:r>
      <w:r w:rsidR="00394AD0">
        <w:tab/>
      </w:r>
      <w:r w:rsidR="00394AD0">
        <w:tab/>
      </w:r>
      <w:r w:rsidR="00394AD0">
        <w:tab/>
      </w:r>
      <w:r w:rsidR="00394AD0">
        <w:tab/>
      </w:r>
      <w:r w:rsidR="00394AD0">
        <w:tab/>
      </w:r>
      <w:r w:rsidR="00753271">
        <w:t>(7)</w:t>
      </w:r>
    </w:p>
    <w:p w14:paraId="400DBF72" w14:textId="50E65D2E" w:rsidR="00E541B1" w:rsidRDefault="00E541B1" w:rsidP="00E541B1">
      <w:pPr>
        <w:tabs>
          <w:tab w:val="left" w:pos="7655"/>
        </w:tabs>
        <w:spacing w:after="240"/>
        <w:ind w:firstLine="567"/>
        <w:jc w:val="both"/>
        <w:rPr>
          <w:rFonts w:eastAsia="Times New Roman"/>
        </w:rPr>
      </w:pPr>
      <w:r w:rsidRPr="00E541B1">
        <w:rPr>
          <w:rFonts w:eastAsia="Times New Roman"/>
        </w:rPr>
        <w:t xml:space="preserve">En la Tabla 4 se muestran los valores y los rankings obtenidos de la resolución de los modelos </w:t>
      </w:r>
      <w:r w:rsidR="00753271">
        <w:rPr>
          <w:rFonts w:eastAsia="Times New Roman"/>
        </w:rPr>
        <w:t>(5)</w:t>
      </w:r>
      <w:r w:rsidRPr="00E541B1">
        <w:rPr>
          <w:rFonts w:eastAsia="Times New Roman"/>
        </w:rPr>
        <w:t xml:space="preserve">, </w:t>
      </w:r>
      <w:r w:rsidR="00753271">
        <w:rPr>
          <w:rFonts w:eastAsia="Times New Roman"/>
        </w:rPr>
        <w:t>(6)</w:t>
      </w:r>
      <w:r w:rsidRPr="00E541B1">
        <w:rPr>
          <w:rFonts w:eastAsia="Times New Roman"/>
        </w:rPr>
        <w:t xml:space="preserve"> y </w:t>
      </w:r>
      <w:r w:rsidR="00753271">
        <w:rPr>
          <w:rFonts w:eastAsia="Times New Roman"/>
        </w:rPr>
        <w:t>(7)</w:t>
      </w:r>
      <w:r w:rsidRPr="00E541B1">
        <w:rPr>
          <w:rFonts w:eastAsia="Times New Roman"/>
        </w:rPr>
        <w:t xml:space="preserve">. Teniendo en cuenta, exclusivamente, la eficiencia en la reducción de la pobreza, se observa que los países menos eficientes son en general los que tienen un </w:t>
      </w:r>
      <w:r w:rsidR="0063016D">
        <w:rPr>
          <w:rFonts w:eastAsia="Times New Roman"/>
        </w:rPr>
        <w:t>estado del bienestar</w:t>
      </w:r>
      <w:r w:rsidRPr="00E541B1">
        <w:rPr>
          <w:rFonts w:eastAsia="Times New Roman"/>
        </w:rPr>
        <w:t xml:space="preserve"> de tipo mediterráneo (Grecia, Italia y Portugal), mientras que los más eficientes pueden pertenecer tanto al modelo tanto nórdico (Finlandia y Holanda) como anglosajón (Irlanda) o continental (Francia).</w:t>
      </w:r>
    </w:p>
    <w:p w14:paraId="71D5604E" w14:textId="77777777" w:rsidR="00FD47CD" w:rsidRDefault="00FD47CD" w:rsidP="0029512B">
      <w:pPr>
        <w:spacing w:after="240"/>
        <w:jc w:val="center"/>
        <w:rPr>
          <w:rFonts w:eastAsia="Times New Roman"/>
          <w:b/>
          <w:sz w:val="20"/>
          <w:szCs w:val="20"/>
          <w:lang w:val="ca-ES"/>
        </w:rPr>
      </w:pPr>
    </w:p>
    <w:p w14:paraId="15135AAF" w14:textId="77777777" w:rsidR="00394AD0" w:rsidRDefault="00394AD0">
      <w:pPr>
        <w:rPr>
          <w:rFonts w:eastAsia="Times New Roman"/>
          <w:b/>
          <w:sz w:val="20"/>
          <w:szCs w:val="20"/>
          <w:lang w:val="ca-ES"/>
        </w:rPr>
      </w:pPr>
      <w:r>
        <w:rPr>
          <w:rFonts w:eastAsia="Times New Roman"/>
          <w:b/>
          <w:sz w:val="20"/>
          <w:szCs w:val="20"/>
          <w:lang w:val="ca-ES"/>
        </w:rPr>
        <w:br w:type="page"/>
      </w:r>
    </w:p>
    <w:p w14:paraId="26E8C700" w14:textId="7D8FEA10" w:rsidR="0029512B" w:rsidRPr="0029512B" w:rsidRDefault="0029512B" w:rsidP="0029512B">
      <w:pPr>
        <w:spacing w:after="240"/>
        <w:jc w:val="center"/>
        <w:rPr>
          <w:rFonts w:eastAsia="Times New Roman"/>
          <w:b/>
          <w:sz w:val="20"/>
          <w:szCs w:val="20"/>
        </w:rPr>
      </w:pPr>
      <w:r>
        <w:rPr>
          <w:rFonts w:eastAsia="Times New Roman"/>
          <w:b/>
          <w:sz w:val="20"/>
          <w:szCs w:val="20"/>
          <w:lang w:val="ca-ES"/>
        </w:rPr>
        <w:lastRenderedPageBreak/>
        <w:t>Tab</w:t>
      </w:r>
      <w:r w:rsidRPr="0029512B">
        <w:rPr>
          <w:rFonts w:eastAsia="Times New Roman"/>
          <w:b/>
          <w:sz w:val="20"/>
          <w:szCs w:val="20"/>
          <w:lang w:val="ca-ES"/>
        </w:rPr>
        <w:t xml:space="preserve">la 4. </w:t>
      </w:r>
      <w:r w:rsidRPr="0029512B">
        <w:rPr>
          <w:rFonts w:eastAsia="Times New Roman"/>
          <w:b/>
          <w:sz w:val="20"/>
          <w:szCs w:val="20"/>
        </w:rPr>
        <w:t>Medidas de eficiencia de DEA de los países de la EU15.</w:t>
      </w:r>
    </w:p>
    <w:tbl>
      <w:tblPr>
        <w:tblW w:w="8400" w:type="dxa"/>
        <w:tblInd w:w="-5"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29512B" w:rsidRPr="0029512B" w14:paraId="77FE5E7D" w14:textId="77777777" w:rsidTr="006A0594">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0153"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A9B14" w14:textId="5138C034" w:rsidR="0029512B" w:rsidRPr="0029512B" w:rsidRDefault="00FD47CD" w:rsidP="006A0594">
            <w:pPr>
              <w:rPr>
                <w:rFonts w:eastAsia="Times New Roman"/>
                <w:color w:val="000000"/>
                <w:sz w:val="20"/>
                <w:szCs w:val="20"/>
              </w:rPr>
            </w:pPr>
            <w:r>
              <w:rPr>
                <w:rFonts w:eastAsia="Times New Roman"/>
                <w:color w:val="000000"/>
                <w:sz w:val="20"/>
                <w:szCs w:val="20"/>
              </w:rPr>
              <w:t>Eficiencia según (5)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ECC2482" w14:textId="79329E57" w:rsidR="0029512B" w:rsidRPr="0029512B" w:rsidRDefault="0029512B" w:rsidP="00FD47CD">
            <w:pPr>
              <w:rPr>
                <w:rFonts w:eastAsia="Times New Roman"/>
                <w:color w:val="000000"/>
                <w:sz w:val="20"/>
                <w:szCs w:val="20"/>
              </w:rPr>
            </w:pPr>
            <w:r w:rsidRPr="0029512B">
              <w:rPr>
                <w:rFonts w:eastAsia="Times New Roman"/>
                <w:color w:val="000000"/>
                <w:sz w:val="20"/>
                <w:szCs w:val="20"/>
              </w:rPr>
              <w:t xml:space="preserve">Eficiencia según </w:t>
            </w:r>
            <w:r w:rsidR="00FD47CD">
              <w:rPr>
                <w:rFonts w:eastAsia="Times New Roman"/>
                <w:color w:val="000000"/>
                <w:sz w:val="20"/>
                <w:szCs w:val="20"/>
              </w:rPr>
              <w:t>(</w:t>
            </w:r>
            <w:r w:rsidRPr="0029512B">
              <w:rPr>
                <w:rFonts w:eastAsia="Times New Roman"/>
                <w:color w:val="000000"/>
                <w:sz w:val="20"/>
                <w:szCs w:val="20"/>
              </w:rPr>
              <w:t>6</w:t>
            </w:r>
            <w:r w:rsidR="00FD47CD">
              <w:rPr>
                <w:rFonts w:eastAsia="Times New Roman"/>
                <w:color w:val="000000"/>
                <w:sz w:val="20"/>
                <w:szCs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8A16BB0" w14:textId="7ACAD3FB" w:rsidR="0029512B" w:rsidRPr="0029512B" w:rsidRDefault="0029512B" w:rsidP="00FD47CD">
            <w:pPr>
              <w:rPr>
                <w:rFonts w:eastAsia="Times New Roman"/>
                <w:color w:val="000000"/>
                <w:sz w:val="20"/>
                <w:szCs w:val="20"/>
              </w:rPr>
            </w:pPr>
            <w:r w:rsidRPr="0029512B">
              <w:rPr>
                <w:rFonts w:eastAsia="Times New Roman"/>
                <w:color w:val="000000"/>
                <w:sz w:val="20"/>
                <w:szCs w:val="20"/>
              </w:rPr>
              <w:t xml:space="preserve">Eficiencia según </w:t>
            </w:r>
            <w:r w:rsidR="00FD47CD">
              <w:rPr>
                <w:rFonts w:eastAsia="Times New Roman"/>
                <w:color w:val="000000"/>
                <w:sz w:val="20"/>
                <w:szCs w:val="20"/>
              </w:rPr>
              <w:t>(7)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3AD1E53" w14:textId="7F2B571F" w:rsidR="0029512B" w:rsidRPr="0029512B" w:rsidRDefault="0029512B" w:rsidP="00FD47CD">
            <w:pPr>
              <w:rPr>
                <w:rFonts w:eastAsia="Times New Roman"/>
                <w:color w:val="000000"/>
                <w:sz w:val="20"/>
                <w:szCs w:val="20"/>
              </w:rPr>
            </w:pPr>
            <w:r w:rsidRPr="0029512B">
              <w:rPr>
                <w:rFonts w:eastAsia="Times New Roman"/>
                <w:color w:val="000000"/>
                <w:sz w:val="20"/>
                <w:szCs w:val="20"/>
              </w:rPr>
              <w:t>Jera</w:t>
            </w:r>
            <w:r w:rsidR="00FD47CD">
              <w:rPr>
                <w:rFonts w:eastAsia="Times New Roman"/>
                <w:color w:val="000000"/>
                <w:sz w:val="20"/>
                <w:szCs w:val="20"/>
              </w:rPr>
              <w:t>rquía según (</w:t>
            </w:r>
            <w:r w:rsidRPr="0029512B">
              <w:rPr>
                <w:rFonts w:eastAsia="Times New Roman"/>
                <w:color w:val="000000"/>
                <w:sz w:val="20"/>
                <w:szCs w:val="20"/>
              </w:rPr>
              <w:t>5</w:t>
            </w:r>
            <w:r w:rsidR="00FD47CD">
              <w:rPr>
                <w:rFonts w:eastAsia="Times New Roman"/>
                <w:color w:val="000000"/>
                <w:sz w:val="20"/>
                <w:szCs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3711265" w14:textId="11C7A712" w:rsidR="0029512B" w:rsidRPr="0029512B" w:rsidRDefault="0029512B" w:rsidP="00FD47CD">
            <w:pPr>
              <w:rPr>
                <w:rFonts w:eastAsia="Times New Roman"/>
                <w:color w:val="000000"/>
                <w:sz w:val="20"/>
                <w:szCs w:val="20"/>
              </w:rPr>
            </w:pPr>
            <w:r w:rsidRPr="0029512B">
              <w:rPr>
                <w:rFonts w:eastAsia="Times New Roman"/>
                <w:color w:val="000000"/>
                <w:sz w:val="20"/>
                <w:szCs w:val="20"/>
              </w:rPr>
              <w:t>J</w:t>
            </w:r>
            <w:r w:rsidR="00FD47CD">
              <w:rPr>
                <w:rFonts w:eastAsia="Times New Roman"/>
                <w:color w:val="000000"/>
                <w:sz w:val="20"/>
                <w:szCs w:val="20"/>
              </w:rPr>
              <w:t>erarquía según (</w:t>
            </w:r>
            <w:r w:rsidRPr="0029512B">
              <w:rPr>
                <w:rFonts w:eastAsia="Times New Roman"/>
                <w:color w:val="000000"/>
                <w:sz w:val="20"/>
                <w:szCs w:val="20"/>
              </w:rPr>
              <w:t>6</w:t>
            </w:r>
            <w:r w:rsidR="00FD47CD">
              <w:rPr>
                <w:rFonts w:eastAsia="Times New Roman"/>
                <w:color w:val="000000"/>
                <w:sz w:val="20"/>
                <w:szCs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3DB8807" w14:textId="4557F20C" w:rsidR="0029512B" w:rsidRPr="0029512B" w:rsidRDefault="0029512B" w:rsidP="00FD47CD">
            <w:pPr>
              <w:rPr>
                <w:rFonts w:eastAsia="Times New Roman"/>
                <w:color w:val="000000"/>
                <w:sz w:val="20"/>
                <w:szCs w:val="20"/>
              </w:rPr>
            </w:pPr>
            <w:r w:rsidRPr="0029512B">
              <w:rPr>
                <w:rFonts w:eastAsia="Times New Roman"/>
                <w:color w:val="000000"/>
                <w:sz w:val="20"/>
                <w:szCs w:val="20"/>
              </w:rPr>
              <w:t>J</w:t>
            </w:r>
            <w:r w:rsidR="00FD47CD">
              <w:rPr>
                <w:rFonts w:eastAsia="Times New Roman"/>
                <w:color w:val="000000"/>
                <w:sz w:val="20"/>
                <w:szCs w:val="20"/>
              </w:rPr>
              <w:t>erarquía según (</w:t>
            </w:r>
            <w:r w:rsidRPr="0029512B">
              <w:rPr>
                <w:rFonts w:eastAsia="Times New Roman"/>
                <w:color w:val="000000"/>
                <w:sz w:val="20"/>
                <w:szCs w:val="20"/>
              </w:rPr>
              <w:t>7</w:t>
            </w:r>
            <w:r w:rsidR="00FD47CD">
              <w:rPr>
                <w:rFonts w:eastAsia="Times New Roman"/>
                <w:color w:val="000000"/>
                <w:sz w:val="20"/>
                <w:szCs w:val="20"/>
              </w:rPr>
              <w:t>)</w:t>
            </w:r>
          </w:p>
        </w:tc>
      </w:tr>
      <w:tr w:rsidR="0029512B" w:rsidRPr="0029512B" w14:paraId="4EAEC1A7"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7BDB77"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Alemania</w:t>
            </w:r>
          </w:p>
        </w:tc>
        <w:tc>
          <w:tcPr>
            <w:tcW w:w="1200" w:type="dxa"/>
            <w:tcBorders>
              <w:top w:val="nil"/>
              <w:left w:val="nil"/>
              <w:bottom w:val="single" w:sz="4" w:space="0" w:color="auto"/>
              <w:right w:val="single" w:sz="4" w:space="0" w:color="auto"/>
            </w:tcBorders>
            <w:shd w:val="clear" w:color="auto" w:fill="auto"/>
            <w:noWrap/>
            <w:vAlign w:val="center"/>
            <w:hideMark/>
          </w:tcPr>
          <w:p w14:paraId="4E9F606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0,9381</w:t>
            </w:r>
          </w:p>
        </w:tc>
        <w:tc>
          <w:tcPr>
            <w:tcW w:w="1200" w:type="dxa"/>
            <w:tcBorders>
              <w:top w:val="nil"/>
              <w:left w:val="nil"/>
              <w:bottom w:val="single" w:sz="4" w:space="0" w:color="auto"/>
              <w:right w:val="single" w:sz="4" w:space="0" w:color="auto"/>
            </w:tcBorders>
            <w:shd w:val="clear" w:color="auto" w:fill="auto"/>
            <w:noWrap/>
            <w:vAlign w:val="center"/>
            <w:hideMark/>
          </w:tcPr>
          <w:p w14:paraId="53418F0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0,9565</w:t>
            </w:r>
          </w:p>
        </w:tc>
        <w:tc>
          <w:tcPr>
            <w:tcW w:w="1200" w:type="dxa"/>
            <w:tcBorders>
              <w:top w:val="nil"/>
              <w:left w:val="nil"/>
              <w:bottom w:val="single" w:sz="4" w:space="0" w:color="auto"/>
              <w:right w:val="single" w:sz="4" w:space="0" w:color="auto"/>
            </w:tcBorders>
            <w:shd w:val="clear" w:color="auto" w:fill="auto"/>
            <w:noWrap/>
            <w:vAlign w:val="center"/>
            <w:hideMark/>
          </w:tcPr>
          <w:p w14:paraId="1519E4C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0,9903</w:t>
            </w:r>
          </w:p>
        </w:tc>
        <w:tc>
          <w:tcPr>
            <w:tcW w:w="1200" w:type="dxa"/>
            <w:tcBorders>
              <w:top w:val="nil"/>
              <w:left w:val="nil"/>
              <w:bottom w:val="single" w:sz="4" w:space="0" w:color="auto"/>
              <w:right w:val="single" w:sz="4" w:space="0" w:color="auto"/>
            </w:tcBorders>
            <w:shd w:val="clear" w:color="auto" w:fill="auto"/>
            <w:noWrap/>
            <w:vAlign w:val="center"/>
            <w:hideMark/>
          </w:tcPr>
          <w:p w14:paraId="1D6B68B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C9CD89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9</w:t>
            </w:r>
          </w:p>
        </w:tc>
        <w:tc>
          <w:tcPr>
            <w:tcW w:w="1200" w:type="dxa"/>
            <w:tcBorders>
              <w:top w:val="nil"/>
              <w:left w:val="nil"/>
              <w:bottom w:val="single" w:sz="4" w:space="0" w:color="auto"/>
              <w:right w:val="single" w:sz="4" w:space="0" w:color="auto"/>
            </w:tcBorders>
            <w:shd w:val="clear" w:color="auto" w:fill="auto"/>
            <w:noWrap/>
            <w:vAlign w:val="center"/>
            <w:hideMark/>
          </w:tcPr>
          <w:p w14:paraId="682E2E2F"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10</w:t>
            </w:r>
          </w:p>
        </w:tc>
      </w:tr>
      <w:tr w:rsidR="0029512B" w:rsidRPr="0029512B" w14:paraId="2185B711"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7F1D2"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Austria</w:t>
            </w:r>
          </w:p>
        </w:tc>
        <w:tc>
          <w:tcPr>
            <w:tcW w:w="1200" w:type="dxa"/>
            <w:tcBorders>
              <w:top w:val="nil"/>
              <w:left w:val="nil"/>
              <w:bottom w:val="single" w:sz="4" w:space="0" w:color="auto"/>
              <w:right w:val="single" w:sz="4" w:space="0" w:color="auto"/>
            </w:tcBorders>
            <w:shd w:val="clear" w:color="auto" w:fill="auto"/>
            <w:noWrap/>
            <w:vAlign w:val="center"/>
            <w:hideMark/>
          </w:tcPr>
          <w:p w14:paraId="6014CA1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0,9761</w:t>
            </w:r>
          </w:p>
        </w:tc>
        <w:tc>
          <w:tcPr>
            <w:tcW w:w="1200" w:type="dxa"/>
            <w:tcBorders>
              <w:top w:val="nil"/>
              <w:left w:val="nil"/>
              <w:bottom w:val="single" w:sz="4" w:space="0" w:color="auto"/>
              <w:right w:val="single" w:sz="4" w:space="0" w:color="auto"/>
            </w:tcBorders>
            <w:shd w:val="clear" w:color="auto" w:fill="auto"/>
            <w:noWrap/>
            <w:vAlign w:val="center"/>
            <w:hideMark/>
          </w:tcPr>
          <w:p w14:paraId="18990B0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0,9851</w:t>
            </w:r>
          </w:p>
        </w:tc>
        <w:tc>
          <w:tcPr>
            <w:tcW w:w="1200" w:type="dxa"/>
            <w:tcBorders>
              <w:top w:val="nil"/>
              <w:left w:val="nil"/>
              <w:bottom w:val="single" w:sz="4" w:space="0" w:color="auto"/>
              <w:right w:val="single" w:sz="4" w:space="0" w:color="auto"/>
            </w:tcBorders>
            <w:shd w:val="clear" w:color="auto" w:fill="auto"/>
            <w:noWrap/>
            <w:vAlign w:val="center"/>
            <w:hideMark/>
          </w:tcPr>
          <w:p w14:paraId="4247DF8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5A565644"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7</w:t>
            </w:r>
          </w:p>
        </w:tc>
        <w:tc>
          <w:tcPr>
            <w:tcW w:w="1200" w:type="dxa"/>
            <w:tcBorders>
              <w:top w:val="nil"/>
              <w:left w:val="nil"/>
              <w:bottom w:val="single" w:sz="4" w:space="0" w:color="auto"/>
              <w:right w:val="single" w:sz="4" w:space="0" w:color="auto"/>
            </w:tcBorders>
            <w:shd w:val="clear" w:color="auto" w:fill="auto"/>
            <w:noWrap/>
            <w:vAlign w:val="center"/>
            <w:hideMark/>
          </w:tcPr>
          <w:p w14:paraId="3D3858F4"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7</w:t>
            </w:r>
          </w:p>
        </w:tc>
        <w:tc>
          <w:tcPr>
            <w:tcW w:w="1200" w:type="dxa"/>
            <w:tcBorders>
              <w:top w:val="nil"/>
              <w:left w:val="nil"/>
              <w:bottom w:val="single" w:sz="4" w:space="0" w:color="auto"/>
              <w:right w:val="single" w:sz="4" w:space="0" w:color="auto"/>
            </w:tcBorders>
            <w:shd w:val="clear" w:color="auto" w:fill="auto"/>
            <w:noWrap/>
            <w:vAlign w:val="center"/>
            <w:hideMark/>
          </w:tcPr>
          <w:p w14:paraId="35B951D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5E0FE0EF"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CCDAB9"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Bélgica</w:t>
            </w:r>
          </w:p>
        </w:tc>
        <w:tc>
          <w:tcPr>
            <w:tcW w:w="1200" w:type="dxa"/>
            <w:tcBorders>
              <w:top w:val="nil"/>
              <w:left w:val="nil"/>
              <w:bottom w:val="single" w:sz="4" w:space="0" w:color="auto"/>
              <w:right w:val="single" w:sz="4" w:space="0" w:color="auto"/>
            </w:tcBorders>
            <w:shd w:val="clear" w:color="auto" w:fill="auto"/>
            <w:noWrap/>
            <w:vAlign w:val="center"/>
            <w:hideMark/>
          </w:tcPr>
          <w:p w14:paraId="4AEFB2FD"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0,9408</w:t>
            </w:r>
          </w:p>
        </w:tc>
        <w:tc>
          <w:tcPr>
            <w:tcW w:w="1200" w:type="dxa"/>
            <w:tcBorders>
              <w:top w:val="nil"/>
              <w:left w:val="nil"/>
              <w:bottom w:val="single" w:sz="4" w:space="0" w:color="auto"/>
              <w:right w:val="single" w:sz="4" w:space="0" w:color="auto"/>
            </w:tcBorders>
            <w:shd w:val="clear" w:color="auto" w:fill="auto"/>
            <w:noWrap/>
            <w:vAlign w:val="center"/>
            <w:hideMark/>
          </w:tcPr>
          <w:p w14:paraId="68B26E3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0,995</w:t>
            </w:r>
          </w:p>
        </w:tc>
        <w:tc>
          <w:tcPr>
            <w:tcW w:w="1200" w:type="dxa"/>
            <w:tcBorders>
              <w:top w:val="nil"/>
              <w:left w:val="nil"/>
              <w:bottom w:val="single" w:sz="4" w:space="0" w:color="auto"/>
              <w:right w:val="single" w:sz="4" w:space="0" w:color="auto"/>
            </w:tcBorders>
            <w:shd w:val="clear" w:color="auto" w:fill="auto"/>
            <w:noWrap/>
            <w:vAlign w:val="center"/>
            <w:hideMark/>
          </w:tcPr>
          <w:p w14:paraId="203A6FA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0,9953</w:t>
            </w:r>
          </w:p>
        </w:tc>
        <w:tc>
          <w:tcPr>
            <w:tcW w:w="1200" w:type="dxa"/>
            <w:tcBorders>
              <w:top w:val="nil"/>
              <w:left w:val="nil"/>
              <w:bottom w:val="single" w:sz="4" w:space="0" w:color="auto"/>
              <w:right w:val="single" w:sz="4" w:space="0" w:color="auto"/>
            </w:tcBorders>
            <w:shd w:val="clear" w:color="auto" w:fill="auto"/>
            <w:noWrap/>
            <w:vAlign w:val="center"/>
            <w:hideMark/>
          </w:tcPr>
          <w:p w14:paraId="7CD9F3F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071419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6</w:t>
            </w:r>
          </w:p>
        </w:tc>
        <w:tc>
          <w:tcPr>
            <w:tcW w:w="1200" w:type="dxa"/>
            <w:tcBorders>
              <w:top w:val="nil"/>
              <w:left w:val="nil"/>
              <w:bottom w:val="single" w:sz="4" w:space="0" w:color="auto"/>
              <w:right w:val="single" w:sz="4" w:space="0" w:color="auto"/>
            </w:tcBorders>
            <w:shd w:val="clear" w:color="auto" w:fill="auto"/>
            <w:noWrap/>
            <w:vAlign w:val="center"/>
            <w:hideMark/>
          </w:tcPr>
          <w:p w14:paraId="23ED34D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9</w:t>
            </w:r>
          </w:p>
        </w:tc>
      </w:tr>
      <w:tr w:rsidR="0029512B" w:rsidRPr="0029512B" w14:paraId="4E1250CF"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3514B5"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Dinamarca</w:t>
            </w:r>
          </w:p>
        </w:tc>
        <w:tc>
          <w:tcPr>
            <w:tcW w:w="1200" w:type="dxa"/>
            <w:tcBorders>
              <w:top w:val="nil"/>
              <w:left w:val="nil"/>
              <w:bottom w:val="single" w:sz="4" w:space="0" w:color="auto"/>
              <w:right w:val="single" w:sz="4" w:space="0" w:color="auto"/>
            </w:tcBorders>
            <w:shd w:val="clear" w:color="auto" w:fill="auto"/>
            <w:noWrap/>
            <w:vAlign w:val="center"/>
            <w:hideMark/>
          </w:tcPr>
          <w:p w14:paraId="69681C1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0,9978</w:t>
            </w:r>
          </w:p>
        </w:tc>
        <w:tc>
          <w:tcPr>
            <w:tcW w:w="1200" w:type="dxa"/>
            <w:tcBorders>
              <w:top w:val="nil"/>
              <w:left w:val="nil"/>
              <w:bottom w:val="single" w:sz="4" w:space="0" w:color="auto"/>
              <w:right w:val="single" w:sz="4" w:space="0" w:color="auto"/>
            </w:tcBorders>
            <w:shd w:val="clear" w:color="auto" w:fill="auto"/>
            <w:noWrap/>
            <w:vAlign w:val="center"/>
            <w:hideMark/>
          </w:tcPr>
          <w:p w14:paraId="5A0ADBB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0,9738</w:t>
            </w:r>
          </w:p>
        </w:tc>
        <w:tc>
          <w:tcPr>
            <w:tcW w:w="1200" w:type="dxa"/>
            <w:tcBorders>
              <w:top w:val="nil"/>
              <w:left w:val="nil"/>
              <w:bottom w:val="single" w:sz="4" w:space="0" w:color="auto"/>
              <w:right w:val="single" w:sz="4" w:space="0" w:color="auto"/>
            </w:tcBorders>
            <w:shd w:val="clear" w:color="auto" w:fill="auto"/>
            <w:noWrap/>
            <w:vAlign w:val="center"/>
            <w:hideMark/>
          </w:tcPr>
          <w:p w14:paraId="6D9B3C1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775D24E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6</w:t>
            </w:r>
          </w:p>
        </w:tc>
        <w:tc>
          <w:tcPr>
            <w:tcW w:w="1200" w:type="dxa"/>
            <w:tcBorders>
              <w:top w:val="nil"/>
              <w:left w:val="nil"/>
              <w:bottom w:val="single" w:sz="4" w:space="0" w:color="auto"/>
              <w:right w:val="single" w:sz="4" w:space="0" w:color="auto"/>
            </w:tcBorders>
            <w:shd w:val="clear" w:color="auto" w:fill="auto"/>
            <w:noWrap/>
            <w:vAlign w:val="center"/>
            <w:hideMark/>
          </w:tcPr>
          <w:p w14:paraId="4B5EB1ED"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14:paraId="0ADCA77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161AB592"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B2EC58"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España</w:t>
            </w:r>
          </w:p>
        </w:tc>
        <w:tc>
          <w:tcPr>
            <w:tcW w:w="1200" w:type="dxa"/>
            <w:tcBorders>
              <w:top w:val="nil"/>
              <w:left w:val="nil"/>
              <w:bottom w:val="single" w:sz="4" w:space="0" w:color="auto"/>
              <w:right w:val="single" w:sz="4" w:space="0" w:color="auto"/>
            </w:tcBorders>
            <w:shd w:val="clear" w:color="auto" w:fill="auto"/>
            <w:noWrap/>
            <w:vAlign w:val="center"/>
            <w:hideMark/>
          </w:tcPr>
          <w:p w14:paraId="7E21A8F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0,9467</w:t>
            </w:r>
          </w:p>
        </w:tc>
        <w:tc>
          <w:tcPr>
            <w:tcW w:w="1200" w:type="dxa"/>
            <w:tcBorders>
              <w:top w:val="nil"/>
              <w:left w:val="nil"/>
              <w:bottom w:val="single" w:sz="4" w:space="0" w:color="auto"/>
              <w:right w:val="single" w:sz="4" w:space="0" w:color="auto"/>
            </w:tcBorders>
            <w:shd w:val="clear" w:color="auto" w:fill="auto"/>
            <w:noWrap/>
            <w:vAlign w:val="center"/>
            <w:hideMark/>
          </w:tcPr>
          <w:p w14:paraId="6C5BB9A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0,9562</w:t>
            </w:r>
          </w:p>
        </w:tc>
        <w:tc>
          <w:tcPr>
            <w:tcW w:w="1200" w:type="dxa"/>
            <w:tcBorders>
              <w:top w:val="nil"/>
              <w:left w:val="nil"/>
              <w:bottom w:val="single" w:sz="4" w:space="0" w:color="auto"/>
              <w:right w:val="single" w:sz="4" w:space="0" w:color="auto"/>
            </w:tcBorders>
            <w:shd w:val="clear" w:color="auto" w:fill="auto"/>
            <w:noWrap/>
            <w:vAlign w:val="center"/>
            <w:hideMark/>
          </w:tcPr>
          <w:p w14:paraId="15EE6F9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0,9562</w:t>
            </w:r>
          </w:p>
        </w:tc>
        <w:tc>
          <w:tcPr>
            <w:tcW w:w="1200" w:type="dxa"/>
            <w:tcBorders>
              <w:top w:val="nil"/>
              <w:left w:val="nil"/>
              <w:bottom w:val="single" w:sz="4" w:space="0" w:color="auto"/>
              <w:right w:val="single" w:sz="4" w:space="0" w:color="auto"/>
            </w:tcBorders>
            <w:shd w:val="clear" w:color="auto" w:fill="auto"/>
            <w:noWrap/>
            <w:vAlign w:val="center"/>
            <w:hideMark/>
          </w:tcPr>
          <w:p w14:paraId="773B128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14:paraId="30427A6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15E34C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13</w:t>
            </w:r>
          </w:p>
        </w:tc>
      </w:tr>
      <w:tr w:rsidR="0029512B" w:rsidRPr="0029512B" w14:paraId="06900CC1"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B45345"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Finlandia</w:t>
            </w:r>
          </w:p>
        </w:tc>
        <w:tc>
          <w:tcPr>
            <w:tcW w:w="1200" w:type="dxa"/>
            <w:tcBorders>
              <w:top w:val="nil"/>
              <w:left w:val="nil"/>
              <w:bottom w:val="single" w:sz="4" w:space="0" w:color="auto"/>
              <w:right w:val="single" w:sz="4" w:space="0" w:color="auto"/>
            </w:tcBorders>
            <w:shd w:val="clear" w:color="auto" w:fill="auto"/>
            <w:noWrap/>
            <w:vAlign w:val="center"/>
            <w:hideMark/>
          </w:tcPr>
          <w:p w14:paraId="35EB4A0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1E82F8F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951F5A"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E0857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6C911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100763E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711FFCDF"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46034E"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Francia</w:t>
            </w:r>
          </w:p>
        </w:tc>
        <w:tc>
          <w:tcPr>
            <w:tcW w:w="1200" w:type="dxa"/>
            <w:tcBorders>
              <w:top w:val="nil"/>
              <w:left w:val="nil"/>
              <w:bottom w:val="single" w:sz="4" w:space="0" w:color="auto"/>
              <w:right w:val="single" w:sz="4" w:space="0" w:color="auto"/>
            </w:tcBorders>
            <w:shd w:val="clear" w:color="auto" w:fill="auto"/>
            <w:noWrap/>
            <w:vAlign w:val="center"/>
            <w:hideMark/>
          </w:tcPr>
          <w:p w14:paraId="1BF9B43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832C2B"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0,9245</w:t>
            </w:r>
          </w:p>
        </w:tc>
        <w:tc>
          <w:tcPr>
            <w:tcW w:w="1200" w:type="dxa"/>
            <w:tcBorders>
              <w:top w:val="nil"/>
              <w:left w:val="nil"/>
              <w:bottom w:val="single" w:sz="4" w:space="0" w:color="auto"/>
              <w:right w:val="single" w:sz="4" w:space="0" w:color="auto"/>
            </w:tcBorders>
            <w:shd w:val="clear" w:color="auto" w:fill="auto"/>
            <w:noWrap/>
            <w:vAlign w:val="center"/>
            <w:hideMark/>
          </w:tcPr>
          <w:p w14:paraId="2442627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C71CFC"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EAFAF2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4DF99E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23A290EA"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34DB90"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Grecia</w:t>
            </w:r>
          </w:p>
        </w:tc>
        <w:tc>
          <w:tcPr>
            <w:tcW w:w="1200" w:type="dxa"/>
            <w:tcBorders>
              <w:top w:val="nil"/>
              <w:left w:val="nil"/>
              <w:bottom w:val="single" w:sz="4" w:space="0" w:color="auto"/>
              <w:right w:val="single" w:sz="4" w:space="0" w:color="auto"/>
            </w:tcBorders>
            <w:shd w:val="clear" w:color="auto" w:fill="auto"/>
            <w:noWrap/>
            <w:vAlign w:val="center"/>
            <w:hideMark/>
          </w:tcPr>
          <w:p w14:paraId="4DD81A8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0,8719</w:t>
            </w:r>
          </w:p>
        </w:tc>
        <w:tc>
          <w:tcPr>
            <w:tcW w:w="1200" w:type="dxa"/>
            <w:tcBorders>
              <w:top w:val="nil"/>
              <w:left w:val="nil"/>
              <w:bottom w:val="single" w:sz="4" w:space="0" w:color="auto"/>
              <w:right w:val="single" w:sz="4" w:space="0" w:color="auto"/>
            </w:tcBorders>
            <w:shd w:val="clear" w:color="auto" w:fill="auto"/>
            <w:noWrap/>
            <w:vAlign w:val="center"/>
            <w:hideMark/>
          </w:tcPr>
          <w:p w14:paraId="767E603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0,9496</w:t>
            </w:r>
          </w:p>
        </w:tc>
        <w:tc>
          <w:tcPr>
            <w:tcW w:w="1200" w:type="dxa"/>
            <w:tcBorders>
              <w:top w:val="nil"/>
              <w:left w:val="nil"/>
              <w:bottom w:val="single" w:sz="4" w:space="0" w:color="auto"/>
              <w:right w:val="single" w:sz="4" w:space="0" w:color="auto"/>
            </w:tcBorders>
            <w:shd w:val="clear" w:color="auto" w:fill="auto"/>
            <w:noWrap/>
            <w:vAlign w:val="center"/>
            <w:hideMark/>
          </w:tcPr>
          <w:p w14:paraId="693E208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0,9496</w:t>
            </w:r>
          </w:p>
        </w:tc>
        <w:tc>
          <w:tcPr>
            <w:tcW w:w="1200" w:type="dxa"/>
            <w:tcBorders>
              <w:top w:val="nil"/>
              <w:left w:val="nil"/>
              <w:bottom w:val="single" w:sz="4" w:space="0" w:color="auto"/>
              <w:right w:val="single" w:sz="4" w:space="0" w:color="auto"/>
            </w:tcBorders>
            <w:shd w:val="clear" w:color="auto" w:fill="auto"/>
            <w:noWrap/>
            <w:vAlign w:val="center"/>
            <w:hideMark/>
          </w:tcPr>
          <w:p w14:paraId="0F71DEE4"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E80852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380149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15</w:t>
            </w:r>
          </w:p>
        </w:tc>
      </w:tr>
      <w:tr w:rsidR="0029512B" w:rsidRPr="0029512B" w14:paraId="5C746BE5"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9E335B"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Holanda</w:t>
            </w:r>
          </w:p>
        </w:tc>
        <w:tc>
          <w:tcPr>
            <w:tcW w:w="1200" w:type="dxa"/>
            <w:tcBorders>
              <w:top w:val="nil"/>
              <w:left w:val="nil"/>
              <w:bottom w:val="single" w:sz="4" w:space="0" w:color="auto"/>
              <w:right w:val="single" w:sz="4" w:space="0" w:color="auto"/>
            </w:tcBorders>
            <w:shd w:val="clear" w:color="auto" w:fill="auto"/>
            <w:noWrap/>
            <w:vAlign w:val="center"/>
            <w:hideMark/>
          </w:tcPr>
          <w:p w14:paraId="0624F57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52E8993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4049959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1FB87F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099BA94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33B907F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72F0A0BF"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5C1B1C"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Irlanda</w:t>
            </w:r>
          </w:p>
        </w:tc>
        <w:tc>
          <w:tcPr>
            <w:tcW w:w="1200" w:type="dxa"/>
            <w:tcBorders>
              <w:top w:val="nil"/>
              <w:left w:val="nil"/>
              <w:bottom w:val="single" w:sz="4" w:space="0" w:color="auto"/>
              <w:right w:val="single" w:sz="4" w:space="0" w:color="auto"/>
            </w:tcBorders>
            <w:shd w:val="clear" w:color="auto" w:fill="auto"/>
            <w:noWrap/>
            <w:vAlign w:val="center"/>
            <w:hideMark/>
          </w:tcPr>
          <w:p w14:paraId="5D89091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D2EA46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3164DBBB"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4E5B4C"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11153A"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C6828C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42D651A2"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53AC69"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Italia</w:t>
            </w:r>
          </w:p>
        </w:tc>
        <w:tc>
          <w:tcPr>
            <w:tcW w:w="1200" w:type="dxa"/>
            <w:tcBorders>
              <w:top w:val="nil"/>
              <w:left w:val="nil"/>
              <w:bottom w:val="single" w:sz="4" w:space="0" w:color="auto"/>
              <w:right w:val="single" w:sz="4" w:space="0" w:color="auto"/>
            </w:tcBorders>
            <w:shd w:val="clear" w:color="auto" w:fill="auto"/>
            <w:noWrap/>
            <w:vAlign w:val="center"/>
            <w:hideMark/>
          </w:tcPr>
          <w:p w14:paraId="6909F6B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0,9034</w:t>
            </w:r>
          </w:p>
        </w:tc>
        <w:tc>
          <w:tcPr>
            <w:tcW w:w="1200" w:type="dxa"/>
            <w:tcBorders>
              <w:top w:val="nil"/>
              <w:left w:val="nil"/>
              <w:bottom w:val="single" w:sz="4" w:space="0" w:color="auto"/>
              <w:right w:val="single" w:sz="4" w:space="0" w:color="auto"/>
            </w:tcBorders>
            <w:shd w:val="clear" w:color="auto" w:fill="auto"/>
            <w:noWrap/>
            <w:vAlign w:val="center"/>
            <w:hideMark/>
          </w:tcPr>
          <w:p w14:paraId="3E4A714B"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0,9535</w:t>
            </w:r>
          </w:p>
        </w:tc>
        <w:tc>
          <w:tcPr>
            <w:tcW w:w="1200" w:type="dxa"/>
            <w:tcBorders>
              <w:top w:val="nil"/>
              <w:left w:val="nil"/>
              <w:bottom w:val="single" w:sz="4" w:space="0" w:color="auto"/>
              <w:right w:val="single" w:sz="4" w:space="0" w:color="auto"/>
            </w:tcBorders>
            <w:shd w:val="clear" w:color="auto" w:fill="auto"/>
            <w:noWrap/>
            <w:vAlign w:val="center"/>
            <w:hideMark/>
          </w:tcPr>
          <w:p w14:paraId="48E92788"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0,9535</w:t>
            </w:r>
          </w:p>
        </w:tc>
        <w:tc>
          <w:tcPr>
            <w:tcW w:w="1200" w:type="dxa"/>
            <w:tcBorders>
              <w:top w:val="nil"/>
              <w:left w:val="nil"/>
              <w:bottom w:val="single" w:sz="4" w:space="0" w:color="auto"/>
              <w:right w:val="single" w:sz="4" w:space="0" w:color="auto"/>
            </w:tcBorders>
            <w:shd w:val="clear" w:color="auto" w:fill="auto"/>
            <w:noWrap/>
            <w:vAlign w:val="center"/>
            <w:hideMark/>
          </w:tcPr>
          <w:p w14:paraId="339E6BB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F97271E"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4C4895B"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14</w:t>
            </w:r>
          </w:p>
        </w:tc>
      </w:tr>
      <w:tr w:rsidR="0029512B" w:rsidRPr="0029512B" w14:paraId="7D8EC79D"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068B12"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Luxemburgo</w:t>
            </w:r>
          </w:p>
        </w:tc>
        <w:tc>
          <w:tcPr>
            <w:tcW w:w="1200" w:type="dxa"/>
            <w:tcBorders>
              <w:top w:val="nil"/>
              <w:left w:val="nil"/>
              <w:bottom w:val="single" w:sz="4" w:space="0" w:color="auto"/>
              <w:right w:val="single" w:sz="4" w:space="0" w:color="auto"/>
            </w:tcBorders>
            <w:shd w:val="clear" w:color="auto" w:fill="auto"/>
            <w:noWrap/>
            <w:vAlign w:val="center"/>
            <w:hideMark/>
          </w:tcPr>
          <w:p w14:paraId="1D11F58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03FFAC"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7450F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52C14A"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43CDF82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B5692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r w:rsidR="0029512B" w:rsidRPr="0029512B" w14:paraId="0E4164F3"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8CCDD1"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Portugal</w:t>
            </w:r>
          </w:p>
        </w:tc>
        <w:tc>
          <w:tcPr>
            <w:tcW w:w="1200" w:type="dxa"/>
            <w:tcBorders>
              <w:top w:val="nil"/>
              <w:left w:val="nil"/>
              <w:bottom w:val="single" w:sz="4" w:space="0" w:color="auto"/>
              <w:right w:val="single" w:sz="4" w:space="0" w:color="auto"/>
            </w:tcBorders>
            <w:shd w:val="clear" w:color="auto" w:fill="auto"/>
            <w:noWrap/>
            <w:vAlign w:val="center"/>
            <w:hideMark/>
          </w:tcPr>
          <w:p w14:paraId="59C0A77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0,9238</w:t>
            </w:r>
          </w:p>
        </w:tc>
        <w:tc>
          <w:tcPr>
            <w:tcW w:w="1200" w:type="dxa"/>
            <w:tcBorders>
              <w:top w:val="nil"/>
              <w:left w:val="nil"/>
              <w:bottom w:val="single" w:sz="4" w:space="0" w:color="auto"/>
              <w:right w:val="single" w:sz="4" w:space="0" w:color="auto"/>
            </w:tcBorders>
            <w:shd w:val="clear" w:color="auto" w:fill="auto"/>
            <w:noWrap/>
            <w:vAlign w:val="center"/>
            <w:hideMark/>
          </w:tcPr>
          <w:p w14:paraId="4EE54038"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0,9369</w:t>
            </w:r>
          </w:p>
        </w:tc>
        <w:tc>
          <w:tcPr>
            <w:tcW w:w="1200" w:type="dxa"/>
            <w:tcBorders>
              <w:top w:val="nil"/>
              <w:left w:val="nil"/>
              <w:bottom w:val="single" w:sz="4" w:space="0" w:color="auto"/>
              <w:right w:val="single" w:sz="4" w:space="0" w:color="auto"/>
            </w:tcBorders>
            <w:shd w:val="clear" w:color="auto" w:fill="auto"/>
            <w:noWrap/>
            <w:vAlign w:val="center"/>
            <w:hideMark/>
          </w:tcPr>
          <w:p w14:paraId="4BDD82D4"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0,97</w:t>
            </w:r>
          </w:p>
        </w:tc>
        <w:tc>
          <w:tcPr>
            <w:tcW w:w="1200" w:type="dxa"/>
            <w:tcBorders>
              <w:top w:val="nil"/>
              <w:left w:val="nil"/>
              <w:bottom w:val="single" w:sz="4" w:space="0" w:color="auto"/>
              <w:right w:val="single" w:sz="4" w:space="0" w:color="auto"/>
            </w:tcBorders>
            <w:shd w:val="clear" w:color="auto" w:fill="auto"/>
            <w:noWrap/>
            <w:vAlign w:val="center"/>
            <w:hideMark/>
          </w:tcPr>
          <w:p w14:paraId="0BF0DABB"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203F800"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D4DD717"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11</w:t>
            </w:r>
          </w:p>
        </w:tc>
      </w:tr>
      <w:tr w:rsidR="0029512B" w:rsidRPr="0029512B" w14:paraId="5E6A99BB"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CA7EB6"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Reino Unido</w:t>
            </w:r>
          </w:p>
        </w:tc>
        <w:tc>
          <w:tcPr>
            <w:tcW w:w="1200" w:type="dxa"/>
            <w:tcBorders>
              <w:top w:val="nil"/>
              <w:left w:val="nil"/>
              <w:bottom w:val="single" w:sz="4" w:space="0" w:color="auto"/>
              <w:right w:val="single" w:sz="4" w:space="0" w:color="auto"/>
            </w:tcBorders>
            <w:shd w:val="clear" w:color="auto" w:fill="auto"/>
            <w:noWrap/>
            <w:vAlign w:val="center"/>
            <w:hideMark/>
          </w:tcPr>
          <w:p w14:paraId="5C6C1469"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0,9381</w:t>
            </w:r>
          </w:p>
        </w:tc>
        <w:tc>
          <w:tcPr>
            <w:tcW w:w="1200" w:type="dxa"/>
            <w:tcBorders>
              <w:top w:val="nil"/>
              <w:left w:val="nil"/>
              <w:bottom w:val="single" w:sz="4" w:space="0" w:color="auto"/>
              <w:right w:val="single" w:sz="4" w:space="0" w:color="auto"/>
            </w:tcBorders>
            <w:shd w:val="clear" w:color="auto" w:fill="auto"/>
            <w:noWrap/>
            <w:vAlign w:val="center"/>
            <w:hideMark/>
          </w:tcPr>
          <w:p w14:paraId="3957E99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0,9307</w:t>
            </w:r>
          </w:p>
        </w:tc>
        <w:tc>
          <w:tcPr>
            <w:tcW w:w="1200" w:type="dxa"/>
            <w:tcBorders>
              <w:top w:val="nil"/>
              <w:left w:val="nil"/>
              <w:bottom w:val="single" w:sz="4" w:space="0" w:color="auto"/>
              <w:right w:val="single" w:sz="4" w:space="0" w:color="auto"/>
            </w:tcBorders>
            <w:shd w:val="clear" w:color="auto" w:fill="auto"/>
            <w:noWrap/>
            <w:vAlign w:val="center"/>
            <w:hideMark/>
          </w:tcPr>
          <w:p w14:paraId="7CA84F5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0,9669</w:t>
            </w:r>
          </w:p>
        </w:tc>
        <w:tc>
          <w:tcPr>
            <w:tcW w:w="1200" w:type="dxa"/>
            <w:tcBorders>
              <w:top w:val="nil"/>
              <w:left w:val="nil"/>
              <w:bottom w:val="single" w:sz="4" w:space="0" w:color="auto"/>
              <w:right w:val="single" w:sz="4" w:space="0" w:color="auto"/>
            </w:tcBorders>
            <w:shd w:val="clear" w:color="auto" w:fill="auto"/>
            <w:noWrap/>
            <w:vAlign w:val="center"/>
            <w:hideMark/>
          </w:tcPr>
          <w:p w14:paraId="5FF7C8FD"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FE687C6"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9F3860F"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12</w:t>
            </w:r>
          </w:p>
        </w:tc>
      </w:tr>
      <w:tr w:rsidR="0029512B" w:rsidRPr="0029512B" w14:paraId="3B065ED9" w14:textId="77777777" w:rsidTr="006A059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8822F" w14:textId="77777777" w:rsidR="0029512B" w:rsidRPr="0029512B" w:rsidRDefault="0029512B" w:rsidP="006A0594">
            <w:pPr>
              <w:rPr>
                <w:rFonts w:eastAsia="Times New Roman"/>
                <w:color w:val="000000"/>
                <w:sz w:val="20"/>
                <w:szCs w:val="20"/>
              </w:rPr>
            </w:pPr>
            <w:r w:rsidRPr="0029512B">
              <w:rPr>
                <w:rFonts w:eastAsia="Times New Roman"/>
                <w:color w:val="000000"/>
                <w:sz w:val="20"/>
                <w:szCs w:val="20"/>
              </w:rPr>
              <w:t>Suecia</w:t>
            </w:r>
          </w:p>
        </w:tc>
        <w:tc>
          <w:tcPr>
            <w:tcW w:w="1200" w:type="dxa"/>
            <w:tcBorders>
              <w:top w:val="nil"/>
              <w:left w:val="nil"/>
              <w:bottom w:val="single" w:sz="4" w:space="0" w:color="auto"/>
              <w:right w:val="single" w:sz="4" w:space="0" w:color="auto"/>
            </w:tcBorders>
            <w:shd w:val="clear" w:color="auto" w:fill="auto"/>
            <w:noWrap/>
            <w:vAlign w:val="center"/>
            <w:hideMark/>
          </w:tcPr>
          <w:p w14:paraId="07C72A75"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0,9412</w:t>
            </w:r>
          </w:p>
        </w:tc>
        <w:tc>
          <w:tcPr>
            <w:tcW w:w="1200" w:type="dxa"/>
            <w:tcBorders>
              <w:top w:val="nil"/>
              <w:left w:val="nil"/>
              <w:bottom w:val="single" w:sz="4" w:space="0" w:color="auto"/>
              <w:right w:val="single" w:sz="4" w:space="0" w:color="auto"/>
            </w:tcBorders>
            <w:shd w:val="clear" w:color="auto" w:fill="auto"/>
            <w:noWrap/>
            <w:vAlign w:val="center"/>
            <w:hideMark/>
          </w:tcPr>
          <w:p w14:paraId="7EB474C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BF047C3"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7BFDE578"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9</w:t>
            </w:r>
          </w:p>
        </w:tc>
        <w:tc>
          <w:tcPr>
            <w:tcW w:w="1200" w:type="dxa"/>
            <w:tcBorders>
              <w:top w:val="nil"/>
              <w:left w:val="nil"/>
              <w:bottom w:val="single" w:sz="4" w:space="0" w:color="auto"/>
              <w:right w:val="single" w:sz="4" w:space="0" w:color="auto"/>
            </w:tcBorders>
            <w:shd w:val="clear" w:color="auto" w:fill="auto"/>
            <w:noWrap/>
            <w:vAlign w:val="center"/>
            <w:hideMark/>
          </w:tcPr>
          <w:p w14:paraId="56592082"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40F511" w14:textId="77777777" w:rsidR="0029512B" w:rsidRPr="0029512B" w:rsidRDefault="0029512B" w:rsidP="006A0594">
            <w:pPr>
              <w:jc w:val="center"/>
              <w:rPr>
                <w:rFonts w:eastAsia="Times New Roman"/>
                <w:color w:val="000000"/>
                <w:sz w:val="20"/>
                <w:szCs w:val="20"/>
              </w:rPr>
            </w:pPr>
            <w:r w:rsidRPr="0029512B">
              <w:rPr>
                <w:rFonts w:eastAsia="Times New Roman"/>
                <w:color w:val="000000"/>
                <w:sz w:val="20"/>
                <w:szCs w:val="20"/>
              </w:rPr>
              <w:t>1</w:t>
            </w:r>
          </w:p>
        </w:tc>
      </w:tr>
    </w:tbl>
    <w:p w14:paraId="7E718438" w14:textId="534972B8" w:rsidR="0029512B" w:rsidRPr="0029512B" w:rsidRDefault="0029512B" w:rsidP="0029512B">
      <w:pPr>
        <w:jc w:val="center"/>
        <w:rPr>
          <w:sz w:val="20"/>
          <w:szCs w:val="20"/>
        </w:rPr>
      </w:pPr>
      <w:r w:rsidRPr="0029512B">
        <w:rPr>
          <w:sz w:val="20"/>
          <w:szCs w:val="20"/>
        </w:rPr>
        <w:t>Fuente: Elaboración propia a partir de datos de Eurostat, 2018.</w:t>
      </w:r>
    </w:p>
    <w:p w14:paraId="63EA4CEE" w14:textId="0AE76222" w:rsidR="0029512B" w:rsidRDefault="0029512B" w:rsidP="0029512B">
      <w:pPr>
        <w:spacing w:after="240"/>
        <w:jc w:val="both"/>
        <w:rPr>
          <w:rFonts w:eastAsia="Times New Roman"/>
          <w:sz w:val="20"/>
          <w:szCs w:val="20"/>
        </w:rPr>
      </w:pPr>
    </w:p>
    <w:p w14:paraId="492A5CE7" w14:textId="4E2B9D9D" w:rsidR="0029512B" w:rsidRDefault="0029512B" w:rsidP="0029512B">
      <w:pPr>
        <w:spacing w:after="240"/>
        <w:ind w:firstLine="567"/>
        <w:jc w:val="both"/>
        <w:rPr>
          <w:rFonts w:eastAsia="Times New Roman"/>
        </w:rPr>
      </w:pPr>
      <w:r w:rsidRPr="00E541B1">
        <w:rPr>
          <w:rFonts w:eastAsia="Times New Roman"/>
        </w:rPr>
        <w:t xml:space="preserve">En cuanto a la eficiencia exclusiva en la reducción de </w:t>
      </w:r>
      <w:r w:rsidRPr="00E541B1">
        <w:rPr>
          <w:rFonts w:eastAsia="Times New Roman"/>
          <w:i/>
        </w:rPr>
        <w:t>IG</w:t>
      </w:r>
      <w:r w:rsidRPr="00E541B1">
        <w:rPr>
          <w:rFonts w:eastAsia="Times New Roman"/>
        </w:rPr>
        <w:t xml:space="preserve">, </w:t>
      </w:r>
      <w:r>
        <w:rPr>
          <w:rFonts w:eastAsia="Times New Roman"/>
        </w:rPr>
        <w:t>(5)</w:t>
      </w:r>
      <w:r w:rsidRPr="00E541B1">
        <w:rPr>
          <w:rFonts w:eastAsia="Times New Roman"/>
        </w:rPr>
        <w:t>, se observa una tónica similar, pero con matices. Entre los países más ineficientes encontramos de nuevo los países mediterráneos y también el Reino Unido (</w:t>
      </w:r>
      <w:r w:rsidR="00FD47CD">
        <w:rPr>
          <w:rFonts w:eastAsia="Times New Roman"/>
        </w:rPr>
        <w:t>é</w:t>
      </w:r>
      <w:r w:rsidRPr="00E541B1">
        <w:rPr>
          <w:rFonts w:eastAsia="Times New Roman"/>
        </w:rPr>
        <w:t xml:space="preserve">ste estaba jerarquizado en posiciones retrasadas al evaluarse exclusivamente la eficiencia en </w:t>
      </w:r>
      <w:r w:rsidRPr="00E541B1">
        <w:rPr>
          <w:rFonts w:eastAsia="Times New Roman"/>
          <w:i/>
        </w:rPr>
        <w:t>RAP</w:t>
      </w:r>
      <w:r w:rsidRPr="00E541B1">
        <w:rPr>
          <w:rFonts w:eastAsia="Times New Roman"/>
        </w:rPr>
        <w:t xml:space="preserve">) y, sorprendentemente, Francia, que estaba entre los países más eficientes en </w:t>
      </w:r>
      <w:r w:rsidRPr="00E541B1">
        <w:rPr>
          <w:rFonts w:eastAsia="Times New Roman"/>
          <w:i/>
        </w:rPr>
        <w:t>RAP</w:t>
      </w:r>
      <w:r w:rsidRPr="00E541B1">
        <w:rPr>
          <w:rFonts w:eastAsia="Times New Roman"/>
        </w:rPr>
        <w:t>. En cuanto a los países más eficientes, países con EB de modelo nórdico (Finlandia, Holanda, Suecia) y también los dos países que presentan menor gasto social, Luxemburgo e Irlanda. En general los países con EB continental se sitúan en posiciones intermedias.</w:t>
      </w:r>
    </w:p>
    <w:p w14:paraId="793AEB3F" w14:textId="77777777" w:rsidR="0029512B" w:rsidRPr="00E541B1" w:rsidRDefault="0029512B" w:rsidP="0029512B">
      <w:pPr>
        <w:spacing w:after="240"/>
        <w:ind w:firstLine="567"/>
        <w:jc w:val="both"/>
        <w:rPr>
          <w:rFonts w:eastAsia="Times New Roman"/>
        </w:rPr>
      </w:pPr>
      <w:r w:rsidRPr="00E541B1">
        <w:rPr>
          <w:rFonts w:eastAsia="Times New Roman"/>
        </w:rPr>
        <w:t xml:space="preserve">Cuando se evalúa conjuntamente la eficiencia en </w:t>
      </w:r>
      <w:r w:rsidRPr="00E541B1">
        <w:rPr>
          <w:rFonts w:eastAsia="Times New Roman"/>
          <w:i/>
        </w:rPr>
        <w:t>RAP</w:t>
      </w:r>
      <w:r w:rsidRPr="00E541B1">
        <w:rPr>
          <w:rFonts w:eastAsia="Times New Roman"/>
        </w:rPr>
        <w:t xml:space="preserve"> y </w:t>
      </w:r>
      <w:r w:rsidRPr="00E541B1">
        <w:rPr>
          <w:rFonts w:eastAsia="Times New Roman"/>
          <w:i/>
        </w:rPr>
        <w:t>RAG</w:t>
      </w:r>
      <w:r w:rsidRPr="00E541B1">
        <w:rPr>
          <w:rFonts w:eastAsia="Times New Roman"/>
        </w:rPr>
        <w:t xml:space="preserve"> (modelo </w:t>
      </w:r>
      <w:r>
        <w:rPr>
          <w:rFonts w:eastAsia="Times New Roman"/>
        </w:rPr>
        <w:t>(7)</w:t>
      </w:r>
      <w:r w:rsidRPr="00E541B1">
        <w:rPr>
          <w:rFonts w:eastAsia="Times New Roman"/>
        </w:rPr>
        <w:t>), los países eficientes vuelven a ser, esencialmente, países con modelo de EB nórdico (Holanda, Dinamarca, Suecia y Finlandia), más Francia y países con menor gasto social (Luxemburgo e Irlanda). Los países más ineficientes son los mediterráneos y el Reino Unido, nuevamente. En las posiciones centrales encontramos, esencialmente, países con EB continentales.</w:t>
      </w:r>
    </w:p>
    <w:p w14:paraId="463EAE92" w14:textId="77777777" w:rsidR="0029512B" w:rsidRPr="00E541B1" w:rsidRDefault="0029512B" w:rsidP="0029512B">
      <w:pPr>
        <w:spacing w:after="240"/>
        <w:ind w:firstLine="567"/>
        <w:jc w:val="both"/>
        <w:rPr>
          <w:rFonts w:eastAsia="Times New Roman"/>
        </w:rPr>
      </w:pPr>
      <w:r w:rsidRPr="00E541B1">
        <w:rPr>
          <w:rFonts w:eastAsia="Times New Roman"/>
        </w:rPr>
        <w:t xml:space="preserve">En la Tabla 5 podemos observar que la eficiencia en </w:t>
      </w:r>
      <w:r w:rsidRPr="00E541B1">
        <w:rPr>
          <w:rFonts w:eastAsia="Times New Roman"/>
          <w:i/>
        </w:rPr>
        <w:t>RAP</w:t>
      </w:r>
      <w:r w:rsidRPr="00E541B1">
        <w:rPr>
          <w:rFonts w:eastAsia="Times New Roman"/>
        </w:rPr>
        <w:t xml:space="preserve"> y </w:t>
      </w:r>
      <w:r w:rsidRPr="00E541B1">
        <w:rPr>
          <w:rFonts w:eastAsia="Times New Roman"/>
          <w:i/>
        </w:rPr>
        <w:t>RAG</w:t>
      </w:r>
      <w:r w:rsidRPr="00E541B1">
        <w:rPr>
          <w:rFonts w:eastAsia="Times New Roman"/>
        </w:rPr>
        <w:t xml:space="preserve"> está positivamente relacionada (Rho de Spearman = 0,583), y aun siendo estadísticamente significativa, está lejos de ser perfecta. Hay países eficientes en </w:t>
      </w:r>
      <w:r w:rsidRPr="00E541B1">
        <w:rPr>
          <w:rFonts w:eastAsia="Times New Roman"/>
          <w:i/>
        </w:rPr>
        <w:t>RAP</w:t>
      </w:r>
      <w:r w:rsidRPr="00E541B1">
        <w:rPr>
          <w:rFonts w:eastAsia="Times New Roman"/>
        </w:rPr>
        <w:t xml:space="preserve"> e ineficientes en </w:t>
      </w:r>
      <w:r w:rsidRPr="00E541B1">
        <w:rPr>
          <w:rFonts w:eastAsia="Times New Roman"/>
          <w:i/>
        </w:rPr>
        <w:t>RAG</w:t>
      </w:r>
      <w:r w:rsidRPr="00E541B1">
        <w:rPr>
          <w:rFonts w:eastAsia="Times New Roman"/>
        </w:rPr>
        <w:t xml:space="preserve"> (Francia) y viceversa (Suecia).</w:t>
      </w:r>
    </w:p>
    <w:p w14:paraId="505D7881" w14:textId="345EA707" w:rsidR="00DA351D" w:rsidRDefault="00DA351D">
      <w:pPr>
        <w:rPr>
          <w:rFonts w:eastAsia="Times New Roman"/>
          <w:b/>
          <w:sz w:val="20"/>
          <w:szCs w:val="20"/>
        </w:rPr>
      </w:pPr>
    </w:p>
    <w:p w14:paraId="2E963894" w14:textId="112B9771" w:rsidR="0029512B" w:rsidRPr="0029512B" w:rsidRDefault="0029512B" w:rsidP="0029512B">
      <w:pPr>
        <w:spacing w:after="240"/>
        <w:jc w:val="center"/>
        <w:rPr>
          <w:rFonts w:eastAsia="Times New Roman"/>
          <w:b/>
          <w:sz w:val="20"/>
          <w:szCs w:val="20"/>
        </w:rPr>
      </w:pPr>
      <w:r w:rsidRPr="0029512B">
        <w:rPr>
          <w:rFonts w:eastAsia="Times New Roman"/>
          <w:b/>
          <w:sz w:val="20"/>
          <w:szCs w:val="20"/>
        </w:rPr>
        <w:t>Tabla 5. Correlación por rangos de Spearman de las medidas de eficiencia de los modelos (5), (6) y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2"/>
        <w:gridCol w:w="2252"/>
        <w:gridCol w:w="2253"/>
        <w:gridCol w:w="2253"/>
      </w:tblGrid>
      <w:tr w:rsidR="0029512B" w:rsidRPr="0029512B" w14:paraId="60D3160D" w14:textId="77777777" w:rsidTr="006A0594">
        <w:trPr>
          <w:trHeight w:val="300"/>
        </w:trPr>
        <w:tc>
          <w:tcPr>
            <w:tcW w:w="1250" w:type="pct"/>
            <w:shd w:val="clear" w:color="auto" w:fill="auto"/>
            <w:noWrap/>
            <w:vAlign w:val="bottom"/>
          </w:tcPr>
          <w:p w14:paraId="540551BE" w14:textId="77777777" w:rsidR="0029512B" w:rsidRPr="0029512B" w:rsidRDefault="0029512B" w:rsidP="006A0594">
            <w:pPr>
              <w:jc w:val="center"/>
              <w:rPr>
                <w:rFonts w:eastAsia="Times New Roman"/>
                <w:sz w:val="20"/>
                <w:szCs w:val="20"/>
              </w:rPr>
            </w:pPr>
          </w:p>
        </w:tc>
        <w:tc>
          <w:tcPr>
            <w:tcW w:w="1250" w:type="pct"/>
            <w:shd w:val="clear" w:color="auto" w:fill="auto"/>
            <w:noWrap/>
            <w:vAlign w:val="bottom"/>
            <w:hideMark/>
          </w:tcPr>
          <w:p w14:paraId="6B1DC6E7" w14:textId="64BC9319" w:rsidR="0029512B" w:rsidRPr="0029512B" w:rsidRDefault="0029512B" w:rsidP="0029512B">
            <w:pPr>
              <w:jc w:val="center"/>
              <w:rPr>
                <w:rFonts w:eastAsia="Times New Roman"/>
                <w:sz w:val="20"/>
                <w:szCs w:val="20"/>
              </w:rPr>
            </w:pPr>
            <w:r w:rsidRPr="0029512B">
              <w:rPr>
                <w:rFonts w:eastAsia="Times New Roman"/>
                <w:sz w:val="20"/>
                <w:szCs w:val="20"/>
              </w:rPr>
              <w:t xml:space="preserve">Jerarquía en </w:t>
            </w:r>
            <w:r>
              <w:rPr>
                <w:rFonts w:eastAsia="Times New Roman"/>
                <w:sz w:val="20"/>
                <w:szCs w:val="20"/>
              </w:rPr>
              <w:t>(</w:t>
            </w:r>
            <w:r w:rsidRPr="0029512B">
              <w:rPr>
                <w:rFonts w:eastAsia="Times New Roman"/>
                <w:sz w:val="20"/>
                <w:szCs w:val="20"/>
              </w:rPr>
              <w:t>5</w:t>
            </w:r>
            <w:r>
              <w:rPr>
                <w:rFonts w:eastAsia="Times New Roman"/>
                <w:sz w:val="20"/>
                <w:szCs w:val="20"/>
              </w:rPr>
              <w:t>)</w:t>
            </w:r>
          </w:p>
        </w:tc>
        <w:tc>
          <w:tcPr>
            <w:tcW w:w="1250" w:type="pct"/>
            <w:shd w:val="clear" w:color="auto" w:fill="auto"/>
            <w:noWrap/>
            <w:vAlign w:val="bottom"/>
            <w:hideMark/>
          </w:tcPr>
          <w:p w14:paraId="706486CC" w14:textId="11F09239" w:rsidR="0029512B" w:rsidRPr="0029512B" w:rsidRDefault="0029512B" w:rsidP="0029512B">
            <w:pPr>
              <w:jc w:val="center"/>
              <w:rPr>
                <w:rFonts w:eastAsia="Times New Roman"/>
                <w:sz w:val="20"/>
                <w:szCs w:val="20"/>
              </w:rPr>
            </w:pPr>
            <w:r w:rsidRPr="0029512B">
              <w:rPr>
                <w:rFonts w:eastAsia="Times New Roman"/>
                <w:sz w:val="20"/>
                <w:szCs w:val="20"/>
              </w:rPr>
              <w:t xml:space="preserve">Jerarquía en </w:t>
            </w:r>
            <w:r>
              <w:rPr>
                <w:rFonts w:eastAsia="Times New Roman"/>
                <w:sz w:val="20"/>
                <w:szCs w:val="20"/>
              </w:rPr>
              <w:t>(</w:t>
            </w:r>
            <w:r w:rsidRPr="0029512B">
              <w:rPr>
                <w:rFonts w:eastAsia="Times New Roman"/>
                <w:sz w:val="20"/>
                <w:szCs w:val="20"/>
              </w:rPr>
              <w:t>6</w:t>
            </w:r>
            <w:r>
              <w:rPr>
                <w:rFonts w:eastAsia="Times New Roman"/>
                <w:sz w:val="20"/>
                <w:szCs w:val="20"/>
              </w:rPr>
              <w:t>)</w:t>
            </w:r>
          </w:p>
        </w:tc>
        <w:tc>
          <w:tcPr>
            <w:tcW w:w="1250" w:type="pct"/>
            <w:shd w:val="clear" w:color="auto" w:fill="auto"/>
            <w:noWrap/>
            <w:vAlign w:val="bottom"/>
            <w:hideMark/>
          </w:tcPr>
          <w:p w14:paraId="5B943C1D" w14:textId="53752B77" w:rsidR="0029512B" w:rsidRPr="0029512B" w:rsidRDefault="0029512B" w:rsidP="0029512B">
            <w:pPr>
              <w:jc w:val="center"/>
              <w:rPr>
                <w:rFonts w:eastAsia="Times New Roman"/>
                <w:sz w:val="20"/>
                <w:szCs w:val="20"/>
              </w:rPr>
            </w:pPr>
            <w:r w:rsidRPr="0029512B">
              <w:rPr>
                <w:rFonts w:eastAsia="Times New Roman"/>
                <w:sz w:val="20"/>
                <w:szCs w:val="20"/>
              </w:rPr>
              <w:t xml:space="preserve">Jerarquía en </w:t>
            </w:r>
            <w:r>
              <w:rPr>
                <w:rFonts w:eastAsia="Times New Roman"/>
                <w:sz w:val="20"/>
                <w:szCs w:val="20"/>
              </w:rPr>
              <w:t>(</w:t>
            </w:r>
            <w:r w:rsidRPr="0029512B">
              <w:rPr>
                <w:rFonts w:eastAsia="Times New Roman"/>
                <w:sz w:val="20"/>
                <w:szCs w:val="20"/>
              </w:rPr>
              <w:t>7</w:t>
            </w:r>
            <w:r>
              <w:rPr>
                <w:rFonts w:eastAsia="Times New Roman"/>
                <w:sz w:val="20"/>
                <w:szCs w:val="20"/>
              </w:rPr>
              <w:t>)</w:t>
            </w:r>
          </w:p>
        </w:tc>
      </w:tr>
      <w:tr w:rsidR="0029512B" w:rsidRPr="0029512B" w14:paraId="16FA8A51" w14:textId="77777777" w:rsidTr="006A0594">
        <w:trPr>
          <w:trHeight w:val="300"/>
        </w:trPr>
        <w:tc>
          <w:tcPr>
            <w:tcW w:w="1250" w:type="pct"/>
            <w:shd w:val="clear" w:color="auto" w:fill="auto"/>
            <w:noWrap/>
            <w:vAlign w:val="bottom"/>
          </w:tcPr>
          <w:p w14:paraId="1D01D1AF" w14:textId="77777777" w:rsidR="0029512B" w:rsidRPr="0029512B" w:rsidRDefault="0029512B" w:rsidP="006A0594">
            <w:pPr>
              <w:jc w:val="center"/>
              <w:rPr>
                <w:rFonts w:eastAsia="Times New Roman"/>
                <w:sz w:val="20"/>
                <w:szCs w:val="20"/>
              </w:rPr>
            </w:pPr>
            <w:r w:rsidRPr="0029512B">
              <w:rPr>
                <w:rFonts w:eastAsia="Times New Roman"/>
                <w:sz w:val="20"/>
                <w:szCs w:val="20"/>
              </w:rPr>
              <w:t>Jerarquía en (5)</w:t>
            </w:r>
          </w:p>
        </w:tc>
        <w:tc>
          <w:tcPr>
            <w:tcW w:w="1250" w:type="pct"/>
            <w:shd w:val="clear" w:color="auto" w:fill="auto"/>
            <w:noWrap/>
            <w:vAlign w:val="bottom"/>
            <w:hideMark/>
          </w:tcPr>
          <w:p w14:paraId="69D5DBB2" w14:textId="77777777" w:rsidR="0029512B" w:rsidRPr="0029512B" w:rsidRDefault="0029512B" w:rsidP="006A0594">
            <w:pPr>
              <w:jc w:val="center"/>
              <w:rPr>
                <w:rFonts w:eastAsia="Times New Roman"/>
                <w:sz w:val="20"/>
                <w:szCs w:val="20"/>
              </w:rPr>
            </w:pPr>
            <w:r w:rsidRPr="0029512B">
              <w:rPr>
                <w:rFonts w:eastAsia="Times New Roman"/>
                <w:sz w:val="20"/>
                <w:szCs w:val="20"/>
              </w:rPr>
              <w:t>1</w:t>
            </w:r>
          </w:p>
        </w:tc>
        <w:tc>
          <w:tcPr>
            <w:tcW w:w="1250" w:type="pct"/>
            <w:shd w:val="clear" w:color="auto" w:fill="auto"/>
            <w:noWrap/>
            <w:vAlign w:val="bottom"/>
            <w:hideMark/>
          </w:tcPr>
          <w:p w14:paraId="4C5A338D" w14:textId="77777777" w:rsidR="0029512B" w:rsidRPr="0029512B" w:rsidRDefault="0029512B" w:rsidP="006A0594">
            <w:pPr>
              <w:jc w:val="center"/>
              <w:rPr>
                <w:rFonts w:eastAsia="Times New Roman"/>
                <w:sz w:val="20"/>
                <w:szCs w:val="20"/>
              </w:rPr>
            </w:pPr>
          </w:p>
        </w:tc>
        <w:tc>
          <w:tcPr>
            <w:tcW w:w="1250" w:type="pct"/>
            <w:shd w:val="clear" w:color="auto" w:fill="auto"/>
            <w:noWrap/>
            <w:vAlign w:val="bottom"/>
            <w:hideMark/>
          </w:tcPr>
          <w:p w14:paraId="3B7873AD" w14:textId="77777777" w:rsidR="0029512B" w:rsidRPr="0029512B" w:rsidRDefault="0029512B" w:rsidP="006A0594">
            <w:pPr>
              <w:jc w:val="center"/>
              <w:rPr>
                <w:rFonts w:eastAsia="Times New Roman"/>
                <w:sz w:val="20"/>
                <w:szCs w:val="20"/>
              </w:rPr>
            </w:pPr>
          </w:p>
        </w:tc>
      </w:tr>
      <w:tr w:rsidR="0029512B" w:rsidRPr="0029512B" w14:paraId="3739D73A" w14:textId="77777777" w:rsidTr="006A0594">
        <w:trPr>
          <w:trHeight w:val="300"/>
        </w:trPr>
        <w:tc>
          <w:tcPr>
            <w:tcW w:w="1250" w:type="pct"/>
            <w:shd w:val="clear" w:color="auto" w:fill="auto"/>
            <w:noWrap/>
            <w:vAlign w:val="bottom"/>
          </w:tcPr>
          <w:p w14:paraId="2499106E" w14:textId="77777777" w:rsidR="0029512B" w:rsidRPr="0029512B" w:rsidRDefault="0029512B" w:rsidP="006A0594">
            <w:pPr>
              <w:jc w:val="center"/>
              <w:rPr>
                <w:rFonts w:eastAsia="Times New Roman"/>
                <w:sz w:val="20"/>
                <w:szCs w:val="20"/>
              </w:rPr>
            </w:pPr>
            <w:r w:rsidRPr="0029512B">
              <w:rPr>
                <w:rFonts w:eastAsia="Times New Roman"/>
                <w:sz w:val="20"/>
                <w:szCs w:val="20"/>
              </w:rPr>
              <w:t>Jerarquía en (6)</w:t>
            </w:r>
          </w:p>
        </w:tc>
        <w:tc>
          <w:tcPr>
            <w:tcW w:w="1250" w:type="pct"/>
            <w:shd w:val="clear" w:color="auto" w:fill="auto"/>
            <w:noWrap/>
            <w:vAlign w:val="bottom"/>
            <w:hideMark/>
          </w:tcPr>
          <w:p w14:paraId="1F181EFC" w14:textId="77777777" w:rsidR="0029512B" w:rsidRPr="0029512B" w:rsidRDefault="0029512B" w:rsidP="006A0594">
            <w:pPr>
              <w:jc w:val="center"/>
              <w:rPr>
                <w:rFonts w:eastAsia="Times New Roman"/>
                <w:sz w:val="20"/>
                <w:szCs w:val="20"/>
                <w:vertAlign w:val="superscript"/>
              </w:rPr>
            </w:pPr>
            <w:r w:rsidRPr="0029512B">
              <w:rPr>
                <w:rFonts w:eastAsia="Times New Roman"/>
                <w:sz w:val="20"/>
                <w:szCs w:val="20"/>
              </w:rPr>
              <w:t>0,5826</w:t>
            </w:r>
          </w:p>
          <w:p w14:paraId="7B6966E9" w14:textId="77777777" w:rsidR="0029512B" w:rsidRPr="0029512B" w:rsidRDefault="0029512B" w:rsidP="006A0594">
            <w:pPr>
              <w:jc w:val="center"/>
              <w:rPr>
                <w:rFonts w:eastAsia="Times New Roman"/>
                <w:sz w:val="20"/>
                <w:szCs w:val="20"/>
              </w:rPr>
            </w:pPr>
            <w:r w:rsidRPr="0029512B">
              <w:rPr>
                <w:rFonts w:eastAsia="Times New Roman"/>
                <w:sz w:val="20"/>
                <w:szCs w:val="20"/>
              </w:rPr>
              <w:t>(2,581</w:t>
            </w:r>
            <w:r w:rsidRPr="0029512B">
              <w:rPr>
                <w:rFonts w:eastAsia="Times New Roman"/>
                <w:sz w:val="20"/>
                <w:szCs w:val="20"/>
                <w:vertAlign w:val="superscript"/>
              </w:rPr>
              <w:t>**</w:t>
            </w:r>
            <w:r w:rsidRPr="0029512B">
              <w:rPr>
                <w:rFonts w:eastAsia="Times New Roman"/>
                <w:sz w:val="20"/>
                <w:szCs w:val="20"/>
              </w:rPr>
              <w:t>)</w:t>
            </w:r>
          </w:p>
        </w:tc>
        <w:tc>
          <w:tcPr>
            <w:tcW w:w="1250" w:type="pct"/>
            <w:shd w:val="clear" w:color="auto" w:fill="auto"/>
            <w:noWrap/>
            <w:vAlign w:val="bottom"/>
            <w:hideMark/>
          </w:tcPr>
          <w:p w14:paraId="159DEFC9" w14:textId="77777777" w:rsidR="0029512B" w:rsidRPr="0029512B" w:rsidRDefault="0029512B" w:rsidP="006A0594">
            <w:pPr>
              <w:jc w:val="center"/>
              <w:rPr>
                <w:rFonts w:eastAsia="Times New Roman"/>
                <w:sz w:val="20"/>
                <w:szCs w:val="20"/>
              </w:rPr>
            </w:pPr>
            <w:r w:rsidRPr="0029512B">
              <w:rPr>
                <w:rFonts w:eastAsia="Times New Roman"/>
                <w:sz w:val="20"/>
                <w:szCs w:val="20"/>
              </w:rPr>
              <w:t>1</w:t>
            </w:r>
          </w:p>
        </w:tc>
        <w:tc>
          <w:tcPr>
            <w:tcW w:w="1250" w:type="pct"/>
            <w:shd w:val="clear" w:color="auto" w:fill="auto"/>
            <w:noWrap/>
            <w:vAlign w:val="bottom"/>
            <w:hideMark/>
          </w:tcPr>
          <w:p w14:paraId="67049E4D" w14:textId="77777777" w:rsidR="0029512B" w:rsidRPr="0029512B" w:rsidRDefault="0029512B" w:rsidP="006A0594">
            <w:pPr>
              <w:jc w:val="center"/>
              <w:rPr>
                <w:rFonts w:eastAsia="Times New Roman"/>
                <w:sz w:val="20"/>
                <w:szCs w:val="20"/>
              </w:rPr>
            </w:pPr>
          </w:p>
        </w:tc>
      </w:tr>
      <w:tr w:rsidR="0029512B" w:rsidRPr="0029512B" w14:paraId="4777A87C" w14:textId="77777777" w:rsidTr="006A0594">
        <w:trPr>
          <w:trHeight w:val="315"/>
        </w:trPr>
        <w:tc>
          <w:tcPr>
            <w:tcW w:w="1250" w:type="pct"/>
            <w:shd w:val="clear" w:color="auto" w:fill="auto"/>
            <w:noWrap/>
            <w:vAlign w:val="bottom"/>
          </w:tcPr>
          <w:p w14:paraId="41028B16" w14:textId="77777777" w:rsidR="0029512B" w:rsidRPr="0029512B" w:rsidRDefault="0029512B" w:rsidP="006A0594">
            <w:pPr>
              <w:jc w:val="center"/>
              <w:rPr>
                <w:rFonts w:eastAsia="Times New Roman"/>
                <w:sz w:val="20"/>
                <w:szCs w:val="20"/>
              </w:rPr>
            </w:pPr>
            <w:r w:rsidRPr="0029512B">
              <w:rPr>
                <w:rFonts w:eastAsia="Times New Roman"/>
                <w:sz w:val="20"/>
                <w:szCs w:val="20"/>
              </w:rPr>
              <w:t>Jerarquía en (7)</w:t>
            </w:r>
          </w:p>
        </w:tc>
        <w:tc>
          <w:tcPr>
            <w:tcW w:w="1250" w:type="pct"/>
            <w:shd w:val="clear" w:color="auto" w:fill="auto"/>
            <w:noWrap/>
            <w:vAlign w:val="bottom"/>
            <w:hideMark/>
          </w:tcPr>
          <w:p w14:paraId="199E9B9E" w14:textId="77777777" w:rsidR="0029512B" w:rsidRPr="0029512B" w:rsidRDefault="0029512B" w:rsidP="006A0594">
            <w:pPr>
              <w:jc w:val="center"/>
              <w:rPr>
                <w:rFonts w:eastAsia="Times New Roman"/>
                <w:sz w:val="20"/>
                <w:szCs w:val="20"/>
                <w:vertAlign w:val="superscript"/>
              </w:rPr>
            </w:pPr>
            <w:r w:rsidRPr="0029512B">
              <w:rPr>
                <w:rFonts w:eastAsia="Times New Roman"/>
                <w:sz w:val="20"/>
                <w:szCs w:val="20"/>
              </w:rPr>
              <w:t>0,8449</w:t>
            </w:r>
          </w:p>
          <w:p w14:paraId="74C4C0F4" w14:textId="77777777" w:rsidR="0029512B" w:rsidRPr="0029512B" w:rsidRDefault="0029512B" w:rsidP="006A0594">
            <w:pPr>
              <w:jc w:val="center"/>
              <w:rPr>
                <w:rFonts w:eastAsia="Times New Roman"/>
                <w:sz w:val="20"/>
                <w:szCs w:val="20"/>
              </w:rPr>
            </w:pPr>
            <w:r w:rsidRPr="0029512B">
              <w:rPr>
                <w:rFonts w:eastAsia="Times New Roman"/>
                <w:sz w:val="20"/>
                <w:szCs w:val="20"/>
              </w:rPr>
              <w:t>(4,795</w:t>
            </w:r>
            <w:r w:rsidRPr="0029512B">
              <w:rPr>
                <w:rFonts w:eastAsia="Times New Roman"/>
                <w:sz w:val="20"/>
                <w:szCs w:val="20"/>
                <w:vertAlign w:val="superscript"/>
              </w:rPr>
              <w:t>***</w:t>
            </w:r>
            <w:r w:rsidRPr="0029512B">
              <w:rPr>
                <w:rFonts w:eastAsia="Times New Roman"/>
                <w:sz w:val="20"/>
                <w:szCs w:val="20"/>
              </w:rPr>
              <w:t>)</w:t>
            </w:r>
          </w:p>
        </w:tc>
        <w:tc>
          <w:tcPr>
            <w:tcW w:w="1250" w:type="pct"/>
            <w:shd w:val="clear" w:color="auto" w:fill="auto"/>
            <w:noWrap/>
            <w:vAlign w:val="bottom"/>
            <w:hideMark/>
          </w:tcPr>
          <w:p w14:paraId="3B2B5890" w14:textId="77777777" w:rsidR="0029512B" w:rsidRPr="0029512B" w:rsidRDefault="0029512B" w:rsidP="006A0594">
            <w:pPr>
              <w:jc w:val="center"/>
              <w:rPr>
                <w:rFonts w:eastAsia="Times New Roman"/>
                <w:sz w:val="20"/>
                <w:szCs w:val="20"/>
                <w:vertAlign w:val="superscript"/>
              </w:rPr>
            </w:pPr>
            <w:r w:rsidRPr="0029512B">
              <w:rPr>
                <w:rFonts w:eastAsia="Times New Roman"/>
                <w:sz w:val="20"/>
                <w:szCs w:val="20"/>
              </w:rPr>
              <w:t>0,6514</w:t>
            </w:r>
          </w:p>
          <w:p w14:paraId="08F152F9" w14:textId="77777777" w:rsidR="0029512B" w:rsidRPr="0029512B" w:rsidRDefault="0029512B" w:rsidP="006A0594">
            <w:pPr>
              <w:jc w:val="center"/>
              <w:rPr>
                <w:rFonts w:eastAsia="Times New Roman"/>
                <w:sz w:val="20"/>
                <w:szCs w:val="20"/>
              </w:rPr>
            </w:pPr>
            <w:r w:rsidRPr="0029512B">
              <w:rPr>
                <w:rFonts w:eastAsia="Times New Roman"/>
                <w:sz w:val="20"/>
                <w:szCs w:val="20"/>
              </w:rPr>
              <w:t>(3,012</w:t>
            </w:r>
            <w:r w:rsidRPr="0029512B">
              <w:rPr>
                <w:rFonts w:eastAsia="Times New Roman"/>
                <w:sz w:val="20"/>
                <w:szCs w:val="20"/>
                <w:vertAlign w:val="superscript"/>
              </w:rPr>
              <w:t>***</w:t>
            </w:r>
            <w:r w:rsidRPr="0029512B">
              <w:rPr>
                <w:rFonts w:eastAsia="Times New Roman"/>
                <w:sz w:val="20"/>
                <w:szCs w:val="20"/>
              </w:rPr>
              <w:t>)</w:t>
            </w:r>
          </w:p>
        </w:tc>
        <w:tc>
          <w:tcPr>
            <w:tcW w:w="1250" w:type="pct"/>
            <w:shd w:val="clear" w:color="auto" w:fill="auto"/>
            <w:noWrap/>
            <w:vAlign w:val="bottom"/>
            <w:hideMark/>
          </w:tcPr>
          <w:p w14:paraId="2D08D8F3" w14:textId="77777777" w:rsidR="0029512B" w:rsidRPr="0029512B" w:rsidRDefault="0029512B" w:rsidP="006A0594">
            <w:pPr>
              <w:jc w:val="center"/>
              <w:rPr>
                <w:rFonts w:eastAsia="Times New Roman"/>
                <w:sz w:val="20"/>
                <w:szCs w:val="20"/>
              </w:rPr>
            </w:pPr>
            <w:r w:rsidRPr="0029512B">
              <w:rPr>
                <w:rFonts w:eastAsia="Times New Roman"/>
                <w:sz w:val="20"/>
                <w:szCs w:val="20"/>
              </w:rPr>
              <w:t>1</w:t>
            </w:r>
          </w:p>
        </w:tc>
      </w:tr>
    </w:tbl>
    <w:p w14:paraId="54877E74" w14:textId="546CA023" w:rsidR="0029512B" w:rsidRPr="0029512B" w:rsidRDefault="0029512B" w:rsidP="0029512B">
      <w:pPr>
        <w:ind w:left="567" w:hanging="567"/>
        <w:jc w:val="both"/>
        <w:rPr>
          <w:sz w:val="20"/>
          <w:szCs w:val="20"/>
        </w:rPr>
      </w:pPr>
      <w:r w:rsidRPr="0029512B">
        <w:rPr>
          <w:sz w:val="20"/>
          <w:szCs w:val="20"/>
        </w:rPr>
        <w:t xml:space="preserve">Nota: Entre paréntesis el valor del estadístico </w:t>
      </w:r>
      <w:r w:rsidRPr="0029512B">
        <w:rPr>
          <w:i/>
          <w:sz w:val="20"/>
          <w:szCs w:val="20"/>
        </w:rPr>
        <w:t>z</w:t>
      </w:r>
      <w:r w:rsidRPr="0029512B">
        <w:rPr>
          <w:sz w:val="20"/>
          <w:szCs w:val="20"/>
        </w:rPr>
        <w:t xml:space="preserve"> de prueba y con “***”, “**”, “*” se denota significación estadística del coeficiente de correlación con un nivel de significación estadística del 1%, 5% </w:t>
      </w:r>
      <w:r w:rsidR="00DA351D">
        <w:rPr>
          <w:sz w:val="20"/>
          <w:szCs w:val="20"/>
        </w:rPr>
        <w:t>y</w:t>
      </w:r>
      <w:r w:rsidRPr="0029512B">
        <w:rPr>
          <w:sz w:val="20"/>
          <w:szCs w:val="20"/>
        </w:rPr>
        <w:t xml:space="preserve"> 10% respectivamente.</w:t>
      </w:r>
    </w:p>
    <w:p w14:paraId="6D0B0713" w14:textId="77777777" w:rsidR="0029512B" w:rsidRPr="0029512B" w:rsidRDefault="0029512B" w:rsidP="0029512B">
      <w:pPr>
        <w:jc w:val="center"/>
        <w:rPr>
          <w:sz w:val="20"/>
          <w:szCs w:val="20"/>
        </w:rPr>
      </w:pPr>
      <w:r w:rsidRPr="0029512B">
        <w:rPr>
          <w:sz w:val="20"/>
          <w:szCs w:val="20"/>
        </w:rPr>
        <w:t xml:space="preserve">Fuente: Elaboración propia a partir de datos de Eurostat, 2018. </w:t>
      </w:r>
    </w:p>
    <w:p w14:paraId="684C3FD1" w14:textId="58F0A9B6" w:rsidR="0029512B" w:rsidRDefault="0029512B" w:rsidP="0029512B">
      <w:pPr>
        <w:spacing w:after="240"/>
        <w:jc w:val="both"/>
        <w:rPr>
          <w:b/>
          <w:sz w:val="24"/>
          <w:szCs w:val="24"/>
        </w:rPr>
      </w:pPr>
      <w:r w:rsidRPr="00BA2FE0">
        <w:rPr>
          <w:b/>
          <w:sz w:val="24"/>
          <w:szCs w:val="24"/>
        </w:rPr>
        <w:lastRenderedPageBreak/>
        <w:t>4. Detección de patrones en las políticas públicas de pobreza y desigualdad en los países de la EU15</w:t>
      </w:r>
      <w:r>
        <w:rPr>
          <w:b/>
          <w:sz w:val="24"/>
          <w:szCs w:val="24"/>
        </w:rPr>
        <w:t>.</w:t>
      </w:r>
    </w:p>
    <w:p w14:paraId="503927C1" w14:textId="0BED0F86" w:rsidR="0029512B" w:rsidRPr="0029512B" w:rsidRDefault="0029512B" w:rsidP="0029512B">
      <w:pPr>
        <w:spacing w:after="240"/>
        <w:jc w:val="both"/>
        <w:rPr>
          <w:b/>
          <w:szCs w:val="24"/>
        </w:rPr>
      </w:pPr>
      <w:r w:rsidRPr="0029512B">
        <w:rPr>
          <w:b/>
          <w:szCs w:val="24"/>
        </w:rPr>
        <w:t xml:space="preserve">4.1. Análisis clúster </w:t>
      </w:r>
      <w:r w:rsidRPr="0029512B">
        <w:rPr>
          <w:b/>
          <w:i/>
          <w:szCs w:val="24"/>
        </w:rPr>
        <w:t>k-means</w:t>
      </w:r>
      <w:r w:rsidRPr="0029512B">
        <w:rPr>
          <w:b/>
          <w:szCs w:val="24"/>
        </w:rPr>
        <w:t xml:space="preserve"> borroso versus </w:t>
      </w:r>
      <w:r w:rsidRPr="0029512B">
        <w:rPr>
          <w:b/>
          <w:i/>
          <w:szCs w:val="24"/>
        </w:rPr>
        <w:t>k-means</w:t>
      </w:r>
      <w:r w:rsidRPr="0029512B">
        <w:rPr>
          <w:b/>
          <w:szCs w:val="24"/>
        </w:rPr>
        <w:t xml:space="preserve"> convencional</w:t>
      </w:r>
      <w:r>
        <w:rPr>
          <w:b/>
          <w:szCs w:val="24"/>
        </w:rPr>
        <w:t>.</w:t>
      </w:r>
      <w:r w:rsidRPr="0029512B">
        <w:rPr>
          <w:b/>
          <w:szCs w:val="24"/>
        </w:rPr>
        <w:t xml:space="preserve"> </w:t>
      </w:r>
    </w:p>
    <w:p w14:paraId="3BB6EBC8" w14:textId="77777777" w:rsidR="0029512B" w:rsidRPr="0029512B" w:rsidRDefault="0029512B" w:rsidP="0029512B">
      <w:pPr>
        <w:spacing w:after="240"/>
        <w:jc w:val="both"/>
        <w:rPr>
          <w:szCs w:val="24"/>
        </w:rPr>
      </w:pPr>
      <w:r w:rsidRPr="0029512B">
        <w:rPr>
          <w:szCs w:val="24"/>
        </w:rPr>
        <w:t xml:space="preserve">El análisis clúster es un método utilizado para la detección de grupos homogéneos dentro de una muestra de estudio. Los algoritmos clúster </w:t>
      </w:r>
      <w:r w:rsidRPr="0029512B">
        <w:rPr>
          <w:i/>
          <w:szCs w:val="24"/>
        </w:rPr>
        <w:t>k-means</w:t>
      </w:r>
      <w:r w:rsidRPr="0029512B">
        <w:rPr>
          <w:szCs w:val="24"/>
        </w:rPr>
        <w:t xml:space="preserve"> convencionales permiten clasificar cada elemento de un conjunto de </w:t>
      </w:r>
      <w:r w:rsidRPr="0029512B">
        <w:rPr>
          <w:i/>
          <w:szCs w:val="24"/>
        </w:rPr>
        <w:t>n</w:t>
      </w:r>
      <w:r w:rsidRPr="0029512B">
        <w:rPr>
          <w:szCs w:val="24"/>
        </w:rPr>
        <w:t xml:space="preserve"> elementos exclusivamente en un grupo de los </w:t>
      </w:r>
      <w:r w:rsidRPr="0029512B">
        <w:rPr>
          <w:i/>
          <w:szCs w:val="24"/>
        </w:rPr>
        <w:t>K</w:t>
      </w:r>
      <w:r w:rsidRPr="0029512B">
        <w:rPr>
          <w:szCs w:val="24"/>
        </w:rPr>
        <w:t xml:space="preserve"> preestablecidos, considerándose la exclusividad de pertenencia. Una vez se ha fijado el número de clústeres deseados, la determinación de centroides busca minimizar la dispersión de los elementos dentro de un grupo como:</w:t>
      </w:r>
    </w:p>
    <w:p w14:paraId="73803B3C" w14:textId="77777777" w:rsidR="0029512B" w:rsidRPr="0029512B" w:rsidRDefault="00006FB0" w:rsidP="0029512B">
      <w:pPr>
        <w:spacing w:after="240"/>
        <w:ind w:firstLine="567"/>
        <w:jc w:val="both"/>
        <w:rPr>
          <w:szCs w:val="24"/>
        </w:rPr>
      </w:pPr>
      <m:oMathPara>
        <m:oMath>
          <m:sPre>
            <m:sPrePr>
              <m:ctrlPr>
                <w:rPr>
                  <w:rFonts w:ascii="Cambria Math" w:hAnsi="Cambria Math"/>
                  <w:i/>
                  <w:szCs w:val="24"/>
                </w:rPr>
              </m:ctrlPr>
            </m:sPrePr>
            <m: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sub>
            <m:sup>
              <m:r>
                <w:rPr>
                  <w:rFonts w:ascii="Cambria Math" w:hAnsi="Cambria Math"/>
                  <w:szCs w:val="24"/>
                </w:rPr>
                <m:t>Min</m:t>
              </m:r>
            </m:sup>
            <m:e/>
          </m:sPre>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e>
              </m:nary>
            </m:e>
          </m:nary>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oMath>
      </m:oMathPara>
    </w:p>
    <w:p w14:paraId="196D5600" w14:textId="391A06A5" w:rsidR="0029512B" w:rsidRPr="0029512B" w:rsidRDefault="0029512B" w:rsidP="0029512B">
      <w:pPr>
        <w:tabs>
          <w:tab w:val="left" w:pos="7797"/>
        </w:tabs>
        <w:spacing w:after="240"/>
        <w:ind w:left="2268" w:firstLine="567"/>
        <w:jc w:val="both"/>
        <w:rPr>
          <w:szCs w:val="24"/>
        </w:rPr>
      </w:pPr>
      <w:r w:rsidRPr="0029512B">
        <w:rPr>
          <w:szCs w:val="24"/>
        </w:rPr>
        <w:t xml:space="preserve">sujeto a </w:t>
      </w:r>
      <m:oMath>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nary>
        <m:r>
          <w:rPr>
            <w:rFonts w:ascii="Cambria Math" w:hAnsi="Cambria Math"/>
            <w:szCs w:val="24"/>
          </w:rPr>
          <m:t>=1,</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0,1</m:t>
            </m:r>
          </m:e>
        </m:d>
      </m:oMath>
      <w:r>
        <w:rPr>
          <w:szCs w:val="24"/>
        </w:rPr>
        <w:tab/>
      </w:r>
      <w:r w:rsidR="00DA351D">
        <w:rPr>
          <w:szCs w:val="24"/>
        </w:rPr>
        <w:tab/>
      </w:r>
      <w:r w:rsidR="00DA351D">
        <w:rPr>
          <w:szCs w:val="24"/>
        </w:rPr>
        <w:tab/>
      </w:r>
      <w:r>
        <w:rPr>
          <w:szCs w:val="24"/>
        </w:rPr>
        <w:t>(</w:t>
      </w:r>
      <w:r w:rsidRPr="0029512B">
        <w:rPr>
          <w:szCs w:val="24"/>
        </w:rPr>
        <w:t>8</w:t>
      </w:r>
      <w:r>
        <w:rPr>
          <w:szCs w:val="24"/>
        </w:rPr>
        <w:t>a)</w:t>
      </w:r>
    </w:p>
    <w:p w14:paraId="1288F261" w14:textId="77777777" w:rsidR="0029512B" w:rsidRPr="0029512B" w:rsidRDefault="0029512B" w:rsidP="0029512B">
      <w:pPr>
        <w:spacing w:after="240"/>
        <w:ind w:firstLine="567"/>
        <w:jc w:val="both"/>
        <w:rPr>
          <w:szCs w:val="24"/>
        </w:rPr>
      </w:pPr>
      <w:r w:rsidRPr="0029512B">
        <w:rPr>
          <w:szCs w:val="24"/>
        </w:rPr>
        <w:t xml:space="preserve">Siendo ||·|| una norma normalmente euclídea,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r w:rsidRPr="0029512B">
        <w:rPr>
          <w:szCs w:val="24"/>
        </w:rPr>
        <w:t xml:space="preserve"> la observación del </w:t>
      </w:r>
      <w:r w:rsidRPr="0029512B">
        <w:rPr>
          <w:i/>
          <w:szCs w:val="24"/>
        </w:rPr>
        <w:t>i-</w:t>
      </w:r>
      <w:r w:rsidRPr="0029512B">
        <w:rPr>
          <w:szCs w:val="24"/>
        </w:rPr>
        <w:t xml:space="preserve">ésimo elemento sobre un conjunto de características, </w:t>
      </w:r>
      <w:r w:rsidRPr="0029512B">
        <w:rPr>
          <w:i/>
          <w:szCs w:val="24"/>
        </w:rPr>
        <w:t>c</w:t>
      </w:r>
      <w:r w:rsidRPr="0029512B">
        <w:rPr>
          <w:i/>
          <w:szCs w:val="24"/>
          <w:vertAlign w:val="subscript"/>
        </w:rPr>
        <w:t xml:space="preserve">k </w:t>
      </w:r>
      <w:r w:rsidRPr="0029512B">
        <w:rPr>
          <w:szCs w:val="24"/>
        </w:rPr>
        <w:t xml:space="preserve">el </w:t>
      </w:r>
      <w:r w:rsidRPr="0029512B">
        <w:rPr>
          <w:i/>
          <w:szCs w:val="24"/>
        </w:rPr>
        <w:t>prototipo</w:t>
      </w:r>
      <w:r w:rsidRPr="0029512B">
        <w:rPr>
          <w:szCs w:val="24"/>
        </w:rPr>
        <w:t xml:space="preserve"> o </w:t>
      </w:r>
      <w:r w:rsidRPr="0029512B">
        <w:rPr>
          <w:i/>
          <w:szCs w:val="24"/>
        </w:rPr>
        <w:t>centroide</w:t>
      </w:r>
      <w:r w:rsidRPr="0029512B">
        <w:rPr>
          <w:szCs w:val="24"/>
        </w:rPr>
        <w:t xml:space="preserve"> del clúster </w:t>
      </w:r>
      <w:r w:rsidRPr="0029512B">
        <w:rPr>
          <w:i/>
          <w:szCs w:val="24"/>
        </w:rPr>
        <w:t>k</w:t>
      </w:r>
      <w:r w:rsidRPr="0029512B">
        <w:rPr>
          <w:szCs w:val="24"/>
        </w:rPr>
        <w:t xml:space="preserve"> y </w:t>
      </w:r>
      <w:r w:rsidRPr="0029512B">
        <w:rPr>
          <w:i/>
          <w:szCs w:val="24"/>
        </w:rPr>
        <w:t>u</w:t>
      </w:r>
      <w:r w:rsidRPr="0029512B">
        <w:rPr>
          <w:i/>
          <w:szCs w:val="24"/>
          <w:vertAlign w:val="subscript"/>
        </w:rPr>
        <w:t>i,k</w:t>
      </w:r>
      <w:r w:rsidRPr="0029512B">
        <w:rPr>
          <w:szCs w:val="24"/>
        </w:rPr>
        <w:t xml:space="preserve"> el nivel de pertenencia del elemento </w:t>
      </w:r>
      <w:r w:rsidRPr="0029512B">
        <w:rPr>
          <w:i/>
          <w:szCs w:val="24"/>
        </w:rPr>
        <w:t>i</w:t>
      </w:r>
      <w:r w:rsidRPr="0029512B">
        <w:rPr>
          <w:szCs w:val="24"/>
        </w:rPr>
        <w:t xml:space="preserve"> al clúster </w:t>
      </w:r>
      <w:r w:rsidRPr="0029512B">
        <w:rPr>
          <w:i/>
          <w:szCs w:val="24"/>
        </w:rPr>
        <w:t>k</w:t>
      </w:r>
      <w:r w:rsidRPr="0029512B">
        <w:rPr>
          <w:szCs w:val="24"/>
        </w:rPr>
        <w:t xml:space="preserve">, </w:t>
      </w:r>
      <w:r w:rsidRPr="0029512B">
        <w:rPr>
          <w:i/>
          <w:szCs w:val="24"/>
        </w:rPr>
        <w:t>u</w:t>
      </w:r>
      <w:r w:rsidRPr="0029512B">
        <w:rPr>
          <w:i/>
          <w:szCs w:val="24"/>
          <w:vertAlign w:val="subscript"/>
        </w:rPr>
        <w:t>i,k</w:t>
      </w:r>
      <w:r w:rsidRPr="0029512B">
        <w:rPr>
          <w:szCs w:val="24"/>
        </w:rPr>
        <w:t xml:space="preserve"> </w:t>
      </w:r>
      <w:r w:rsidRPr="0029512B">
        <w:rPr>
          <w:szCs w:val="24"/>
        </w:rPr>
        <w:sym w:font="Symbol" w:char="F0CE"/>
      </w:r>
      <w:r w:rsidRPr="0029512B">
        <w:rPr>
          <w:szCs w:val="24"/>
        </w:rPr>
        <w:t xml:space="preserve"> {0,1}. Así, </w:t>
      </w:r>
      <w:r w:rsidRPr="0029512B">
        <w:rPr>
          <w:i/>
          <w:szCs w:val="24"/>
        </w:rPr>
        <w:t>u</w:t>
      </w:r>
      <w:r w:rsidRPr="0029512B">
        <w:rPr>
          <w:i/>
          <w:szCs w:val="24"/>
          <w:vertAlign w:val="subscript"/>
        </w:rPr>
        <w:t>i,k</w:t>
      </w:r>
      <w:r w:rsidRPr="0029512B">
        <w:rPr>
          <w:szCs w:val="24"/>
        </w:rPr>
        <w:t xml:space="preserve"> = 1 si el elemento </w:t>
      </w:r>
      <w:r w:rsidRPr="0029512B">
        <w:rPr>
          <w:i/>
          <w:szCs w:val="24"/>
        </w:rPr>
        <w:t>i</w:t>
      </w:r>
      <w:r w:rsidRPr="0029512B">
        <w:rPr>
          <w:szCs w:val="24"/>
        </w:rPr>
        <w:t xml:space="preserve">-ésimo es clasificado en el grupo </w:t>
      </w:r>
      <w:r w:rsidRPr="0029512B">
        <w:rPr>
          <w:i/>
          <w:szCs w:val="24"/>
        </w:rPr>
        <w:t>k</w:t>
      </w:r>
      <w:r w:rsidRPr="0029512B">
        <w:rPr>
          <w:szCs w:val="24"/>
        </w:rPr>
        <w:t xml:space="preserve"> y </w:t>
      </w:r>
      <w:r w:rsidRPr="0029512B">
        <w:rPr>
          <w:i/>
          <w:szCs w:val="24"/>
        </w:rPr>
        <w:t>u</w:t>
      </w:r>
      <w:r w:rsidRPr="0029512B">
        <w:rPr>
          <w:i/>
          <w:szCs w:val="24"/>
          <w:vertAlign w:val="subscript"/>
        </w:rPr>
        <w:t>i,k</w:t>
      </w:r>
      <w:r w:rsidRPr="0029512B">
        <w:rPr>
          <w:szCs w:val="24"/>
        </w:rPr>
        <w:t xml:space="preserve"> = 0 en caso contrario.</w:t>
      </w:r>
    </w:p>
    <w:p w14:paraId="34F42E5A" w14:textId="28EFACDB" w:rsidR="0029512B" w:rsidRPr="0029512B" w:rsidRDefault="0029512B" w:rsidP="0029512B">
      <w:pPr>
        <w:spacing w:after="240"/>
        <w:ind w:firstLine="567"/>
        <w:jc w:val="both"/>
        <w:rPr>
          <w:szCs w:val="24"/>
        </w:rPr>
      </w:pPr>
      <w:r w:rsidRPr="0029512B">
        <w:rPr>
          <w:szCs w:val="24"/>
        </w:rPr>
        <w:t xml:space="preserve">La modelización fuzzy </w:t>
      </w:r>
      <w:r w:rsidRPr="0029512B">
        <w:rPr>
          <w:i/>
          <w:szCs w:val="24"/>
        </w:rPr>
        <w:t>k-means</w:t>
      </w:r>
      <w:r w:rsidRPr="0029512B">
        <w:rPr>
          <w:szCs w:val="24"/>
        </w:rPr>
        <w:t xml:space="preserve"> relaja la condición de exclusividad de pertenencia a un grupo y supone que cualquier elemento puede pertenecer en un cierto grado delimitado en el intervalo [0, 1], a más de uno de los grupos prefijados. Así, el programa de optimización anterior queda re-expresado como </w:t>
      </w:r>
      <w:r>
        <w:rPr>
          <w:szCs w:val="24"/>
        </w:rPr>
        <w:t>(</w:t>
      </w:r>
      <w:r w:rsidRPr="0029512B">
        <w:rPr>
          <w:szCs w:val="24"/>
        </w:rPr>
        <w:t>8b</w:t>
      </w:r>
      <w:r>
        <w:rPr>
          <w:szCs w:val="24"/>
        </w:rPr>
        <w:t>)</w:t>
      </w:r>
      <w:r w:rsidRPr="0029512B">
        <w:rPr>
          <w:szCs w:val="24"/>
        </w:rPr>
        <w:t>:</w:t>
      </w:r>
    </w:p>
    <w:p w14:paraId="16A3056B" w14:textId="77777777" w:rsidR="0029512B" w:rsidRPr="0029512B" w:rsidRDefault="00006FB0" w:rsidP="0029512B">
      <w:pPr>
        <w:spacing w:after="240"/>
        <w:ind w:firstLine="567"/>
        <w:jc w:val="both"/>
        <w:rPr>
          <w:szCs w:val="24"/>
        </w:rPr>
      </w:pPr>
      <m:oMathPara>
        <m:oMath>
          <m:sPre>
            <m:sPrePr>
              <m:ctrlPr>
                <w:rPr>
                  <w:rFonts w:ascii="Cambria Math" w:hAnsi="Cambria Math"/>
                  <w:i/>
                  <w:szCs w:val="24"/>
                </w:rPr>
              </m:ctrlPr>
            </m:sPrePr>
            <m: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sub>
            <m:sup>
              <m:r>
                <w:rPr>
                  <w:rFonts w:ascii="Cambria Math" w:hAnsi="Cambria Math"/>
                  <w:szCs w:val="24"/>
                </w:rPr>
                <m:t>Min</m:t>
              </m:r>
            </m:sup>
            <m:e/>
          </m:sPre>
          <m:r>
            <w:rPr>
              <w:rFonts w:ascii="Cambria Math" w:hAnsi="Cambria Math"/>
              <w:szCs w:val="24"/>
            </w:rPr>
            <m:t>J=</m:t>
          </m:r>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d>
                    </m:e>
                    <m:sup>
                      <m:r>
                        <w:rPr>
                          <w:rFonts w:ascii="Cambria Math" w:hAnsi="Cambria Math"/>
                          <w:szCs w:val="24"/>
                        </w:rPr>
                        <m:t>m</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e>
              </m:nary>
            </m:e>
          </m:nary>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oMath>
      </m:oMathPara>
    </w:p>
    <w:p w14:paraId="0713A1BB" w14:textId="150AE502" w:rsidR="0029512B" w:rsidRPr="0029512B" w:rsidRDefault="0029512B" w:rsidP="0029512B">
      <w:pPr>
        <w:tabs>
          <w:tab w:val="left" w:pos="7655"/>
        </w:tabs>
        <w:spacing w:after="240"/>
        <w:ind w:left="2268" w:firstLine="567"/>
        <w:jc w:val="both"/>
        <w:rPr>
          <w:szCs w:val="24"/>
        </w:rPr>
      </w:pPr>
      <w:r w:rsidRPr="0029512B">
        <w:rPr>
          <w:szCs w:val="24"/>
        </w:rPr>
        <w:t xml:space="preserve">sujeto a  </w:t>
      </w:r>
      <m:oMath>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nary>
        <m:r>
          <w:rPr>
            <w:rFonts w:ascii="Cambria Math" w:hAnsi="Cambria Math"/>
            <w:szCs w:val="24"/>
          </w:rPr>
          <m:t xml:space="preserve">=1, 0 </m:t>
        </m:r>
        <m:sSub>
          <m:sSubPr>
            <m:ctrlPr>
              <w:rPr>
                <w:rFonts w:ascii="Cambria Math" w:hAnsi="Cambria Math"/>
                <w:i/>
                <w:szCs w:val="24"/>
              </w:rPr>
            </m:ctrlPr>
          </m:sSubPr>
          <m:e>
            <m:r>
              <m:rPr>
                <m:sty m:val="p"/>
              </m:rPr>
              <w:rPr>
                <w:rFonts w:ascii="Cambria Math" w:hAnsi="Cambria Math"/>
                <w:szCs w:val="24"/>
              </w:rPr>
              <w:sym w:font="Symbol" w:char="F0A3"/>
            </m:r>
            <m:r>
              <m:rPr>
                <m:sty m:val="p"/>
              </m:rPr>
              <w:rPr>
                <w:rFonts w:ascii="Cambria Math" w:hAnsi="Cambria Math"/>
                <w:szCs w:val="24"/>
              </w:rPr>
              <m:t xml:space="preserve"> </m:t>
            </m:r>
            <m:r>
              <w:rPr>
                <w:rFonts w:ascii="Cambria Math" w:hAnsi="Cambria Math"/>
                <w:szCs w:val="24"/>
              </w:rPr>
              <m:t>u</m:t>
            </m:r>
          </m:e>
          <m:sub>
            <m:r>
              <w:rPr>
                <w:rFonts w:ascii="Cambria Math" w:hAnsi="Cambria Math"/>
                <w:szCs w:val="24"/>
              </w:rPr>
              <m:t>i,k</m:t>
            </m:r>
          </m:sub>
        </m:sSub>
        <m:r>
          <m:rPr>
            <m:sty m:val="p"/>
          </m:rPr>
          <w:rPr>
            <w:rFonts w:ascii="Cambria Math" w:hAnsi="Cambria Math"/>
            <w:szCs w:val="24"/>
          </w:rPr>
          <m:t xml:space="preserve"> </m:t>
        </m:r>
        <m:r>
          <m:rPr>
            <m:sty m:val="p"/>
          </m:rPr>
          <w:rPr>
            <w:rFonts w:ascii="Cambria Math" w:hAnsi="Cambria Math"/>
            <w:szCs w:val="24"/>
          </w:rPr>
          <w:sym w:font="Symbol" w:char="F0A3"/>
        </m:r>
        <m:r>
          <m:rPr>
            <m:sty m:val="p"/>
          </m:rPr>
          <w:rPr>
            <w:rFonts w:ascii="Cambria Math" w:hAnsi="Cambria Math"/>
            <w:szCs w:val="24"/>
          </w:rPr>
          <m:t xml:space="preserve"> 1</m:t>
        </m:r>
      </m:oMath>
      <w:r w:rsidRPr="0029512B">
        <w:rPr>
          <w:szCs w:val="24"/>
        </w:rPr>
        <w:tab/>
      </w:r>
      <w:r w:rsidR="00DA351D">
        <w:rPr>
          <w:szCs w:val="24"/>
        </w:rPr>
        <w:tab/>
      </w:r>
      <w:r w:rsidR="00DA351D">
        <w:rPr>
          <w:szCs w:val="24"/>
        </w:rPr>
        <w:tab/>
      </w:r>
      <w:r>
        <w:rPr>
          <w:szCs w:val="24"/>
        </w:rPr>
        <w:t>(</w:t>
      </w:r>
      <w:r w:rsidRPr="0029512B">
        <w:rPr>
          <w:szCs w:val="24"/>
        </w:rPr>
        <w:t>8b</w:t>
      </w:r>
      <w:r>
        <w:rPr>
          <w:szCs w:val="24"/>
        </w:rPr>
        <w:t>)</w:t>
      </w:r>
    </w:p>
    <w:p w14:paraId="17303DD4" w14:textId="77777777" w:rsidR="0029512B" w:rsidRPr="0029512B" w:rsidRDefault="0029512B" w:rsidP="0029512B">
      <w:pPr>
        <w:spacing w:after="240"/>
        <w:ind w:firstLine="567"/>
        <w:jc w:val="both"/>
        <w:rPr>
          <w:szCs w:val="24"/>
        </w:rPr>
      </w:pPr>
      <w:r w:rsidRPr="0029512B">
        <w:rPr>
          <w:szCs w:val="24"/>
        </w:rPr>
        <w:t xml:space="preserve">donde el parámetro </w:t>
      </w:r>
      <w:r w:rsidRPr="0029512B">
        <w:rPr>
          <w:i/>
          <w:szCs w:val="24"/>
        </w:rPr>
        <w:t>m</w:t>
      </w:r>
      <w:r w:rsidRPr="0029512B">
        <w:rPr>
          <w:szCs w:val="24"/>
        </w:rPr>
        <w:t xml:space="preserve"> es denominado en la literatura como </w:t>
      </w:r>
      <w:r w:rsidRPr="0029512B">
        <w:rPr>
          <w:i/>
          <w:szCs w:val="24"/>
        </w:rPr>
        <w:t>fuzzificador</w:t>
      </w:r>
      <w:r w:rsidRPr="0029512B">
        <w:rPr>
          <w:szCs w:val="24"/>
        </w:rPr>
        <w:t xml:space="preserve"> y puede tomar valores 1 </w:t>
      </w:r>
      <w:r w:rsidRPr="0029512B">
        <w:rPr>
          <w:szCs w:val="24"/>
        </w:rPr>
        <w:sym w:font="Symbol" w:char="F0A3"/>
      </w:r>
      <w:r w:rsidRPr="0029512B">
        <w:rPr>
          <w:szCs w:val="24"/>
        </w:rPr>
        <w:t xml:space="preserve"> </w:t>
      </w:r>
      <w:r w:rsidRPr="0029512B">
        <w:rPr>
          <w:i/>
          <w:szCs w:val="24"/>
        </w:rPr>
        <w:t xml:space="preserve">m </w:t>
      </w:r>
      <w:r w:rsidRPr="0029512B">
        <w:rPr>
          <w:szCs w:val="24"/>
        </w:rPr>
        <w:t xml:space="preserve">&lt; </w:t>
      </w:r>
      <w:r w:rsidRPr="0029512B">
        <w:rPr>
          <w:szCs w:val="24"/>
        </w:rPr>
        <w:sym w:font="Symbol" w:char="F0A5"/>
      </w:r>
      <w:r w:rsidRPr="0029512B">
        <w:rPr>
          <w:szCs w:val="24"/>
        </w:rPr>
        <w:t xml:space="preserve">. Cuando </w:t>
      </w:r>
      <w:r w:rsidRPr="0029512B">
        <w:rPr>
          <w:i/>
          <w:szCs w:val="24"/>
        </w:rPr>
        <w:t>m</w:t>
      </w:r>
      <w:r w:rsidRPr="0029512B">
        <w:rPr>
          <w:szCs w:val="24"/>
        </w:rPr>
        <w:sym w:font="Symbol" w:char="F0AE"/>
      </w:r>
      <w:r w:rsidRPr="0029512B">
        <w:rPr>
          <w:szCs w:val="24"/>
        </w:rPr>
        <w:t xml:space="preserve">1, la partición resultante es una convencional (nítida) mientras que si </w:t>
      </w:r>
      <w:r w:rsidRPr="0029512B">
        <w:rPr>
          <w:i/>
          <w:szCs w:val="24"/>
        </w:rPr>
        <w:t>m</w:t>
      </w:r>
      <w:r w:rsidRPr="0029512B">
        <w:rPr>
          <w:szCs w:val="24"/>
        </w:rPr>
        <w:sym w:font="Symbol" w:char="F0AE"/>
      </w:r>
      <w:r w:rsidRPr="0029512B">
        <w:rPr>
          <w:szCs w:val="24"/>
        </w:rPr>
        <w:sym w:font="Symbol" w:char="F0A5"/>
      </w:r>
      <w:r w:rsidRPr="0029512B">
        <w:rPr>
          <w:szCs w:val="24"/>
        </w:rPr>
        <w:t xml:space="preserve"> el análisis clúster no añade valor ya que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r>
          <w:rPr>
            <w:rFonts w:ascii="Cambria Math" w:hAnsi="Cambria Math"/>
            <w:i/>
            <w:szCs w:val="24"/>
          </w:rPr>
          <w:sym w:font="Symbol" w:char="F0AE"/>
        </m:r>
        <m:f>
          <m:fPr>
            <m:ctrlPr>
              <w:rPr>
                <w:rFonts w:ascii="Cambria Math" w:hAnsi="Cambria Math"/>
                <w:i/>
                <w:szCs w:val="24"/>
              </w:rPr>
            </m:ctrlPr>
          </m:fPr>
          <m:num>
            <m:r>
              <w:rPr>
                <w:rFonts w:ascii="Cambria Math" w:hAnsi="Cambria Math"/>
                <w:szCs w:val="24"/>
              </w:rPr>
              <m:t>1</m:t>
            </m:r>
          </m:num>
          <m:den>
            <m:r>
              <w:rPr>
                <w:rFonts w:ascii="Cambria Math" w:hAnsi="Cambria Math"/>
                <w:szCs w:val="24"/>
              </w:rPr>
              <m:t>K</m:t>
            </m:r>
          </m:den>
        </m:f>
      </m:oMath>
      <w:r w:rsidRPr="0029512B">
        <w:rPr>
          <w:szCs w:val="24"/>
        </w:rPr>
        <w:t xml:space="preserve">. Tal como indican Klawonn </w:t>
      </w:r>
      <w:r w:rsidRPr="00DA351D">
        <w:rPr>
          <w:szCs w:val="24"/>
        </w:rPr>
        <w:t>et al.</w:t>
      </w:r>
      <w:r w:rsidRPr="0029512B">
        <w:rPr>
          <w:szCs w:val="24"/>
        </w:rPr>
        <w:t xml:space="preserve"> (2015), el análisis clúster convencional puede ser entendido como un caso particular del análisis clúster borroso ya que los grupos borrosos pueden ser transformados en grupos nítidos considerando que cualquier observación </w:t>
      </w:r>
      <w:r w:rsidRPr="0029512B">
        <w:rPr>
          <w:i/>
          <w:szCs w:val="24"/>
        </w:rPr>
        <w:t>x</w:t>
      </w:r>
      <w:r w:rsidRPr="0029512B">
        <w:rPr>
          <w:i/>
          <w:szCs w:val="24"/>
          <w:vertAlign w:val="subscript"/>
        </w:rPr>
        <w:t>i</w:t>
      </w:r>
      <w:r w:rsidRPr="0029512B">
        <w:rPr>
          <w:szCs w:val="24"/>
        </w:rPr>
        <w:t xml:space="preserve"> pertenece exclusivamente al clúster </w:t>
      </w:r>
      <w:r w:rsidRPr="0029512B">
        <w:rPr>
          <w:i/>
          <w:szCs w:val="24"/>
        </w:rPr>
        <w:t>s</w:t>
      </w:r>
      <w:r w:rsidRPr="0029512B">
        <w:rPr>
          <w:szCs w:val="24"/>
        </w:rPr>
        <w:t xml:space="preserve"> si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i,s</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max</m:t>
            </m:r>
          </m:e>
          <m:sub>
            <m:r>
              <w:rPr>
                <w:rFonts w:ascii="Cambria Math" w:hAnsi="Cambria Math"/>
                <w:szCs w:val="24"/>
              </w:rPr>
              <m:t>k=1</m:t>
            </m:r>
          </m:sub>
          <m:sup>
            <m:r>
              <w:rPr>
                <w:rFonts w:ascii="Cambria Math" w:hAnsi="Cambria Math"/>
                <w:szCs w:val="24"/>
              </w:rPr>
              <m:t>K</m:t>
            </m:r>
          </m:sup>
        </m:sSubSup>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oMath>
      <w:r w:rsidRPr="0029512B">
        <w:rPr>
          <w:szCs w:val="24"/>
        </w:rPr>
        <w:t xml:space="preserve">. </w:t>
      </w:r>
    </w:p>
    <w:p w14:paraId="6D6CBD7D" w14:textId="676784E3" w:rsidR="0029512B" w:rsidRPr="0029512B" w:rsidRDefault="0029512B" w:rsidP="0029512B">
      <w:pPr>
        <w:spacing w:after="240"/>
        <w:ind w:firstLine="567"/>
        <w:jc w:val="both"/>
        <w:rPr>
          <w:szCs w:val="24"/>
        </w:rPr>
      </w:pPr>
      <w:r w:rsidRPr="0029512B">
        <w:rPr>
          <w:szCs w:val="24"/>
        </w:rPr>
        <w:t xml:space="preserve">En problemas de clasificación relativos a las </w:t>
      </w:r>
      <w:r w:rsidR="00DA351D" w:rsidRPr="0029512B">
        <w:rPr>
          <w:szCs w:val="24"/>
        </w:rPr>
        <w:t>Ciencias Sociales</w:t>
      </w:r>
      <w:r w:rsidRPr="0029512B">
        <w:rPr>
          <w:szCs w:val="24"/>
        </w:rPr>
        <w:t xml:space="preserve">, la definición de las clases suele ser difusa, de tal forma que muchos de los elementos a clasificar pueden participar de características de más de un grupo. Así, si se establecen dos grupos en función de la eficiencia en </w:t>
      </w:r>
      <w:r w:rsidRPr="0029512B">
        <w:rPr>
          <w:i/>
          <w:szCs w:val="24"/>
        </w:rPr>
        <w:t>RAP</w:t>
      </w:r>
      <w:r w:rsidRPr="0029512B">
        <w:rPr>
          <w:szCs w:val="24"/>
        </w:rPr>
        <w:t xml:space="preserve"> "alta eficiencia en RAP" y "baja eficiencia en RAP", la misma naturaleza con la que hemos etiquetado estas clases económicas nos lleva a considerar el fuzzy clustering como una alternativa interesante al hard clustering. Así, aceptaríamos que la pertenencia de Luxemburgo al primer grupo y Grecia el segundo es inequívoca, pero Dinamarca, con un índice de eficiencia en </w:t>
      </w:r>
      <w:r w:rsidRPr="0029512B">
        <w:rPr>
          <w:i/>
          <w:szCs w:val="24"/>
        </w:rPr>
        <w:t>RAP</w:t>
      </w:r>
      <w:r w:rsidRPr="0029512B">
        <w:rPr>
          <w:szCs w:val="24"/>
        </w:rPr>
        <w:t xml:space="preserve"> de 0,99, muy cercano a 1, participaría, en cierto grado, de ambos grupos. El análisis fuzzy clustering ha sido ampliamente utilizado en problemas de clasificación de tipo económico y social. Así, Derrig y Ostaszewski (1995) clasifican varios municipios del </w:t>
      </w:r>
      <w:r w:rsidR="00DA351D">
        <w:rPr>
          <w:szCs w:val="24"/>
        </w:rPr>
        <w:t>e</w:t>
      </w:r>
      <w:r w:rsidRPr="0029512B">
        <w:rPr>
          <w:szCs w:val="24"/>
        </w:rPr>
        <w:t>stado de Massachussets en función de variables relacionadas con el fraude en seguros de automóvil; Yu et al. (2012) y Yu et al. (2014) clasifican las provincias chinas en función del cumplimiento de los objetivos de emisiones en CO</w:t>
      </w:r>
      <w:r w:rsidRPr="0029512B">
        <w:rPr>
          <w:szCs w:val="24"/>
          <w:vertAlign w:val="superscript"/>
        </w:rPr>
        <w:t>2</w:t>
      </w:r>
      <w:r w:rsidRPr="0029512B">
        <w:rPr>
          <w:szCs w:val="24"/>
        </w:rPr>
        <w:t xml:space="preserve"> y Wu et al. (2013) categorizan las regiones chinas en función de la vulnerabilidad de su producción agrícola. En Khoshnevisan et al. (2015) se clasifican explotaciones agrarias de Irán en función de su eficiencia energética. En el ámbito </w:t>
      </w:r>
      <w:r w:rsidRPr="0029512B">
        <w:rPr>
          <w:szCs w:val="24"/>
        </w:rPr>
        <w:lastRenderedPageBreak/>
        <w:t xml:space="preserve">de la gestión empresarial, </w:t>
      </w:r>
      <w:r w:rsidR="006624FA" w:rsidRPr="006624FA">
        <w:rPr>
          <w:szCs w:val="24"/>
        </w:rPr>
        <w:t>Costea y Bleotu (2012)</w:t>
      </w:r>
      <w:r w:rsidR="006624FA">
        <w:rPr>
          <w:szCs w:val="24"/>
        </w:rPr>
        <w:t xml:space="preserve"> </w:t>
      </w:r>
      <w:r w:rsidRPr="0029512B">
        <w:rPr>
          <w:szCs w:val="24"/>
        </w:rPr>
        <w:t xml:space="preserve">aplica el fuzzy clustering para discriminar instituciones financieras en Rumania, mientras que Khaleie et al. (2012) lo hace en la selección de proveedores y Hirschinger et al. (2015) en problemas de logística. </w:t>
      </w:r>
    </w:p>
    <w:p w14:paraId="5E684306" w14:textId="65651E10" w:rsidR="0029512B" w:rsidRPr="0029512B" w:rsidRDefault="0029512B" w:rsidP="0029512B">
      <w:pPr>
        <w:tabs>
          <w:tab w:val="left" w:pos="7938"/>
        </w:tabs>
        <w:spacing w:after="240"/>
        <w:ind w:firstLine="567"/>
        <w:jc w:val="both"/>
        <w:rPr>
          <w:szCs w:val="24"/>
        </w:rPr>
      </w:pPr>
      <w:r w:rsidRPr="0029512B">
        <w:rPr>
          <w:szCs w:val="24"/>
        </w:rPr>
        <w:t>Klawonn et al. (2015) introducen una nueva razón de tipo algorítmico para emplear métodos de fuzzy clustering. Indican que el clustering borroso en muchas ocasiones evita los problemas algorítmicos de los métodos convencionales clúster k-means como, por ejemplo, que sus resultados dependen fuertemente de la inicialización del algoritmo. Además, fuzzy clustering no es únicamente una simple mejora de los algoritmos convencional k-clustering sino que abre la posibilidad de realizar análisis clúster más flexibles y sofisticados que los que se pueden hacer con el análisis clúster nítido. La obtención de los centroides y los niveles de pertenencia asociados a los grupos puede ser resuelto con el algorit</w:t>
      </w:r>
      <w:r w:rsidR="00DA351D">
        <w:rPr>
          <w:szCs w:val="24"/>
        </w:rPr>
        <w:t>mo propuesto en Bezdek (1981). É</w:t>
      </w:r>
      <w:r w:rsidRPr="0029512B">
        <w:rPr>
          <w:szCs w:val="24"/>
        </w:rPr>
        <w:t>ste se basa en la aplicación recurrente de las siguientes ecuaciones. La primera estipula que el centroides del clúster k-ésimo es la media ponderada:</w:t>
      </w:r>
    </w:p>
    <w:p w14:paraId="60E02FE5" w14:textId="5C085890" w:rsidR="0029512B" w:rsidRPr="0029512B" w:rsidRDefault="0029512B" w:rsidP="0029512B">
      <w:pPr>
        <w:tabs>
          <w:tab w:val="left" w:pos="7938"/>
        </w:tabs>
        <w:spacing w:after="240"/>
        <w:ind w:firstLine="567"/>
        <w:jc w:val="center"/>
        <w:rPr>
          <w:szCs w:val="24"/>
        </w:rPr>
      </w:pPr>
      <w:r>
        <w:rPr>
          <w:szCs w:val="24"/>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d>
                  </m:e>
                  <m:sup>
                    <m:r>
                      <w:rPr>
                        <w:rFonts w:ascii="Cambria Math" w:hAnsi="Cambria Math"/>
                        <w:szCs w:val="24"/>
                      </w:rPr>
                      <m:t>m</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nary>
          </m:num>
          <m:den>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d>
                  </m:e>
                  <m:sup>
                    <m:r>
                      <w:rPr>
                        <w:rFonts w:ascii="Cambria Math" w:hAnsi="Cambria Math"/>
                        <w:szCs w:val="24"/>
                      </w:rPr>
                      <m:t>m</m:t>
                    </m:r>
                  </m:sup>
                </m:sSup>
              </m:e>
            </m:nary>
          </m:den>
        </m:f>
      </m:oMath>
      <w:r>
        <w:rPr>
          <w:szCs w:val="24"/>
        </w:rPr>
        <w:tab/>
        <w:t xml:space="preserve">             (</w:t>
      </w:r>
      <w:r w:rsidRPr="0029512B">
        <w:rPr>
          <w:szCs w:val="24"/>
        </w:rPr>
        <w:t>8c</w:t>
      </w:r>
      <w:r>
        <w:rPr>
          <w:szCs w:val="24"/>
        </w:rPr>
        <w:t>)</w:t>
      </w:r>
    </w:p>
    <w:p w14:paraId="139A418E" w14:textId="77777777" w:rsidR="0029512B" w:rsidRPr="0029512B" w:rsidRDefault="0029512B" w:rsidP="0029512B">
      <w:pPr>
        <w:spacing w:after="240"/>
        <w:ind w:firstLine="567"/>
        <w:jc w:val="both"/>
        <w:rPr>
          <w:szCs w:val="24"/>
        </w:rPr>
      </w:pPr>
      <w:r w:rsidRPr="0029512B">
        <w:rPr>
          <w:szCs w:val="24"/>
        </w:rPr>
        <w:t xml:space="preserve">La segunda ecuación estipula que el nivel de pertenencia del elemento </w:t>
      </w:r>
      <w:r w:rsidRPr="0029512B">
        <w:rPr>
          <w:i/>
          <w:szCs w:val="24"/>
        </w:rPr>
        <w:t>i</w:t>
      </w:r>
      <w:r w:rsidRPr="0029512B">
        <w:rPr>
          <w:szCs w:val="24"/>
        </w:rPr>
        <w:t xml:space="preserve">-ésimo al k-ésimo clúster,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oMath>
      <w:r w:rsidRPr="0029512B">
        <w:rPr>
          <w:szCs w:val="24"/>
        </w:rPr>
        <w:t>, se encuentra como:</w:t>
      </w:r>
    </w:p>
    <w:p w14:paraId="1FD1A481" w14:textId="7C2156E8" w:rsidR="0029512B" w:rsidRPr="0029512B" w:rsidRDefault="0029512B" w:rsidP="0029512B">
      <w:pPr>
        <w:tabs>
          <w:tab w:val="left" w:pos="7938"/>
        </w:tabs>
        <w:spacing w:after="240"/>
        <w:ind w:firstLine="567"/>
        <w:jc w:val="both"/>
        <w:rPr>
          <w:szCs w:val="24"/>
        </w:rPr>
      </w:pPr>
      <w:r>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r>
          <w:rPr>
            <w:rFonts w:ascii="Cambria Math" w:hAnsi="Cambria Math"/>
            <w:szCs w:val="24"/>
          </w:rPr>
          <m:t>=</m:t>
        </m:r>
        <m:sSup>
          <m:sSupPr>
            <m:ctrlPr>
              <w:rPr>
                <w:rFonts w:ascii="Cambria Math" w:hAnsi="Cambria Math"/>
                <w:i/>
                <w:szCs w:val="24"/>
              </w:rPr>
            </m:ctrlPr>
          </m:sSupPr>
          <m:e>
            <m:d>
              <m:dPr>
                <m:begChr m:val="["/>
                <m:endChr m:val="]"/>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s=1</m:t>
                    </m:r>
                  </m:sub>
                  <m:sup>
                    <m:r>
                      <w:rPr>
                        <w:rFonts w:ascii="Cambria Math" w:hAnsi="Cambria Math"/>
                        <w:szCs w:val="24"/>
                      </w:rPr>
                      <m:t>K</m:t>
                    </m:r>
                  </m:sup>
                  <m:e>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num>
                              <m:den>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s</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den>
                            </m:f>
                          </m:e>
                        </m:d>
                      </m:e>
                      <m:sup>
                        <m:f>
                          <m:fPr>
                            <m:ctrlPr>
                              <w:rPr>
                                <w:rFonts w:ascii="Cambria Math" w:hAnsi="Cambria Math"/>
                                <w:i/>
                                <w:szCs w:val="24"/>
                              </w:rPr>
                            </m:ctrlPr>
                          </m:fPr>
                          <m:num>
                            <m:r>
                              <w:rPr>
                                <w:rFonts w:ascii="Cambria Math" w:hAnsi="Cambria Math"/>
                                <w:szCs w:val="24"/>
                              </w:rPr>
                              <m:t>1</m:t>
                            </m:r>
                          </m:num>
                          <m:den>
                            <m:r>
                              <w:rPr>
                                <w:rFonts w:ascii="Cambria Math" w:hAnsi="Cambria Math"/>
                                <w:szCs w:val="24"/>
                              </w:rPr>
                              <m:t>m-1</m:t>
                            </m:r>
                          </m:den>
                        </m:f>
                      </m:sup>
                    </m:sSup>
                  </m:e>
                </m:nary>
              </m:e>
            </m:d>
          </m:e>
          <m:sup>
            <m:r>
              <w:rPr>
                <w:rFonts w:ascii="Cambria Math" w:hAnsi="Cambria Math"/>
                <w:szCs w:val="24"/>
              </w:rPr>
              <m:t>-1</m:t>
            </m:r>
          </m:sup>
        </m:sSup>
      </m:oMath>
      <w:r>
        <w:rPr>
          <w:szCs w:val="24"/>
        </w:rPr>
        <w:tab/>
      </w:r>
      <w:r>
        <w:rPr>
          <w:szCs w:val="24"/>
        </w:rPr>
        <w:tab/>
        <w:t>(</w:t>
      </w:r>
      <w:r w:rsidRPr="0029512B">
        <w:rPr>
          <w:szCs w:val="24"/>
        </w:rPr>
        <w:t>8d</w:t>
      </w:r>
      <w:r>
        <w:rPr>
          <w:szCs w:val="24"/>
        </w:rPr>
        <w:t>)</w:t>
      </w:r>
    </w:p>
    <w:p w14:paraId="54416B49" w14:textId="77777777" w:rsidR="0029512B" w:rsidRPr="0029512B" w:rsidRDefault="0029512B" w:rsidP="0029512B">
      <w:pPr>
        <w:spacing w:after="240"/>
        <w:ind w:firstLine="567"/>
        <w:jc w:val="both"/>
        <w:rPr>
          <w:szCs w:val="24"/>
        </w:rPr>
      </w:pPr>
      <w:r w:rsidRPr="0029512B">
        <w:rPr>
          <w:szCs w:val="24"/>
        </w:rPr>
        <w:t>Así, los pasos que sigue el algoritmo de Bezdeck son los siguientes:</w:t>
      </w:r>
    </w:p>
    <w:p w14:paraId="6CBDB592" w14:textId="77777777" w:rsidR="0029512B" w:rsidRPr="0029512B" w:rsidRDefault="0029512B" w:rsidP="0029512B">
      <w:pPr>
        <w:spacing w:after="240"/>
        <w:ind w:firstLine="567"/>
        <w:jc w:val="both"/>
        <w:rPr>
          <w:szCs w:val="24"/>
        </w:rPr>
      </w:pPr>
      <w:r w:rsidRPr="0029512B">
        <w:rPr>
          <w:szCs w:val="24"/>
        </w:rPr>
        <w:t xml:space="preserve">Paso 1: A partir de un número predefinido del número de clústeres, </w:t>
      </w:r>
      <w:r w:rsidRPr="0029512B">
        <w:rPr>
          <w:i/>
          <w:szCs w:val="24"/>
        </w:rPr>
        <w:t>K</w:t>
      </w:r>
      <w:r w:rsidRPr="0029512B">
        <w:rPr>
          <w:szCs w:val="24"/>
        </w:rPr>
        <w:t xml:space="preserve"> y de </w:t>
      </w:r>
      <w:r w:rsidRPr="0029512B">
        <w:rPr>
          <w:i/>
          <w:szCs w:val="24"/>
        </w:rPr>
        <w:t>m</w:t>
      </w:r>
      <w:r w:rsidRPr="0029512B">
        <w:rPr>
          <w:szCs w:val="24"/>
        </w:rPr>
        <w:t xml:space="preserve">, escoge un nivel inicial de pertenencia de cada elemento a cada clúster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(0)</m:t>
            </m:r>
          </m:sup>
        </m:sSubSup>
      </m:oMath>
      <w:r w:rsidRPr="0029512B">
        <w:rPr>
          <w:szCs w:val="24"/>
        </w:rPr>
        <w:t xml:space="preserve">, de tal manera que </w:t>
      </w:r>
      <m:oMath>
        <m:nary>
          <m:naryPr>
            <m:chr m:val="∑"/>
            <m:limLoc m:val="undOvr"/>
            <m:ctrlPr>
              <w:rPr>
                <w:rFonts w:ascii="Cambria Math" w:hAnsi="Cambria Math"/>
                <w:i/>
                <w:szCs w:val="24"/>
                <w:lang w:val="en-US"/>
              </w:rPr>
            </m:ctrlPr>
          </m:naryPr>
          <m:sub>
            <m:r>
              <w:rPr>
                <w:rFonts w:ascii="Cambria Math" w:hAnsi="Cambria Math"/>
                <w:szCs w:val="24"/>
                <w:lang w:val="en-US"/>
              </w:rPr>
              <m:t>k</m:t>
            </m:r>
            <m:r>
              <w:rPr>
                <w:rFonts w:ascii="Cambria Math" w:hAnsi="Cambria Math"/>
                <w:szCs w:val="24"/>
              </w:rPr>
              <m:t>=1</m:t>
            </m:r>
          </m:sub>
          <m:sup>
            <m:r>
              <w:rPr>
                <w:rFonts w:ascii="Cambria Math" w:hAnsi="Cambria Math"/>
                <w:szCs w:val="24"/>
                <w:lang w:val="en-US"/>
              </w:rPr>
              <m:t>K</m:t>
            </m:r>
          </m:sup>
          <m:e>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(0)</m:t>
                </m:r>
              </m:sup>
            </m:sSubSup>
          </m:e>
        </m:nary>
        <m:r>
          <w:rPr>
            <w:rFonts w:ascii="Cambria Math" w:hAnsi="Cambria Math"/>
            <w:szCs w:val="24"/>
          </w:rPr>
          <m:t>=1</m:t>
        </m:r>
      </m:oMath>
      <w:r w:rsidRPr="0029512B">
        <w:rPr>
          <w:szCs w:val="24"/>
        </w:rPr>
        <w:t>.</w:t>
      </w:r>
    </w:p>
    <w:p w14:paraId="44EB8B03" w14:textId="77777777" w:rsidR="0029512B" w:rsidRPr="0029512B" w:rsidRDefault="0029512B" w:rsidP="0029512B">
      <w:pPr>
        <w:spacing w:after="240"/>
        <w:ind w:firstLine="567"/>
        <w:jc w:val="both"/>
        <w:rPr>
          <w:szCs w:val="24"/>
        </w:rPr>
      </w:pPr>
      <w:r w:rsidRPr="0029512B">
        <w:rPr>
          <w:szCs w:val="24"/>
        </w:rPr>
        <w:t xml:space="preserve">Paso 2: Con (8c) calcula el centroide del clúster k-ésimo de la primera iteración, </w:t>
      </w:r>
      <m:oMath>
        <m:sSubSup>
          <m:sSubSupPr>
            <m:ctrlPr>
              <w:rPr>
                <w:rFonts w:ascii="Cambria Math" w:hAnsi="Cambria Math"/>
                <w:i/>
                <w:szCs w:val="24"/>
                <w:lang w:val="en-US"/>
              </w:rPr>
            </m:ctrlPr>
          </m:sSubSupPr>
          <m:e>
            <m:r>
              <w:rPr>
                <w:rFonts w:ascii="Cambria Math" w:hAnsi="Cambria Math"/>
                <w:szCs w:val="24"/>
                <w:lang w:val="en-US"/>
              </w:rPr>
              <m:t>c</m:t>
            </m:r>
          </m:e>
          <m:sub>
            <m:r>
              <w:rPr>
                <w:rFonts w:ascii="Cambria Math" w:hAnsi="Cambria Math"/>
                <w:szCs w:val="24"/>
                <w:lang w:val="en-US"/>
              </w:rPr>
              <m:t>k</m:t>
            </m:r>
          </m:sub>
          <m:sup>
            <m:r>
              <w:rPr>
                <w:rFonts w:ascii="Cambria Math" w:hAnsi="Cambria Math"/>
                <w:szCs w:val="24"/>
              </w:rPr>
              <m:t>(0)</m:t>
            </m:r>
          </m:sup>
        </m:sSubSup>
      </m:oMath>
      <w:r w:rsidRPr="0029512B">
        <w:rPr>
          <w:szCs w:val="24"/>
        </w:rPr>
        <w:t xml:space="preserve">, </w:t>
      </w:r>
      <w:r w:rsidRPr="0029512B">
        <w:rPr>
          <w:i/>
          <w:szCs w:val="24"/>
        </w:rPr>
        <w:t>k</w:t>
      </w:r>
      <w:r w:rsidRPr="0029512B">
        <w:rPr>
          <w:szCs w:val="24"/>
        </w:rPr>
        <w:t>=1,2,…,</w:t>
      </w:r>
      <w:r w:rsidRPr="0029512B">
        <w:rPr>
          <w:i/>
          <w:szCs w:val="24"/>
        </w:rPr>
        <w:t>K</w:t>
      </w:r>
      <w:r w:rsidRPr="0029512B">
        <w:rPr>
          <w:szCs w:val="24"/>
        </w:rPr>
        <w:t>.</w:t>
      </w:r>
    </w:p>
    <w:p w14:paraId="1B40DE5D" w14:textId="77777777" w:rsidR="0029512B" w:rsidRPr="0029512B" w:rsidRDefault="0029512B" w:rsidP="0029512B">
      <w:pPr>
        <w:spacing w:after="240"/>
        <w:ind w:firstLine="567"/>
        <w:jc w:val="both"/>
        <w:rPr>
          <w:szCs w:val="24"/>
        </w:rPr>
      </w:pPr>
      <w:r w:rsidRPr="0029512B">
        <w:rPr>
          <w:szCs w:val="24"/>
        </w:rPr>
        <w:t xml:space="preserve">Paso 3: Con (8d) calcula el nivel de pertenencia de cada elemento a cada clúster. En esta primera iteración obtenemos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(1)</m:t>
            </m:r>
          </m:sup>
        </m:sSubSup>
      </m:oMath>
      <w:r w:rsidRPr="0029512B">
        <w:rPr>
          <w:szCs w:val="24"/>
        </w:rPr>
        <w:t xml:space="preserve"> </w:t>
      </w:r>
      <w:r w:rsidRPr="0029512B">
        <w:rPr>
          <w:i/>
          <w:szCs w:val="24"/>
        </w:rPr>
        <w:t xml:space="preserve">i </w:t>
      </w:r>
      <w:r w:rsidRPr="0029512B">
        <w:rPr>
          <w:szCs w:val="24"/>
        </w:rPr>
        <w:t xml:space="preserve">= 1,2, …, </w:t>
      </w:r>
      <w:r w:rsidRPr="0029512B">
        <w:rPr>
          <w:i/>
          <w:szCs w:val="24"/>
        </w:rPr>
        <w:t>n</w:t>
      </w:r>
      <w:r w:rsidRPr="0029512B">
        <w:rPr>
          <w:szCs w:val="24"/>
        </w:rPr>
        <w:t xml:space="preserve">; </w:t>
      </w:r>
      <w:r w:rsidRPr="0029512B">
        <w:rPr>
          <w:i/>
          <w:szCs w:val="24"/>
        </w:rPr>
        <w:t xml:space="preserve">k </w:t>
      </w:r>
      <w:r w:rsidRPr="0029512B">
        <w:rPr>
          <w:szCs w:val="24"/>
        </w:rPr>
        <w:t xml:space="preserve">= 1,2, …, </w:t>
      </w:r>
      <w:r w:rsidRPr="0029512B">
        <w:rPr>
          <w:i/>
          <w:szCs w:val="24"/>
        </w:rPr>
        <w:t>K</w:t>
      </w:r>
      <w:r w:rsidRPr="0029512B">
        <w:rPr>
          <w:szCs w:val="24"/>
        </w:rPr>
        <w:t>.</w:t>
      </w:r>
    </w:p>
    <w:p w14:paraId="229F5B52" w14:textId="77777777" w:rsidR="0029512B" w:rsidRPr="0029512B" w:rsidRDefault="0029512B" w:rsidP="0029512B">
      <w:pPr>
        <w:spacing w:after="240"/>
        <w:ind w:firstLine="567"/>
        <w:jc w:val="both"/>
        <w:rPr>
          <w:szCs w:val="24"/>
        </w:rPr>
      </w:pPr>
      <w:r w:rsidRPr="0029512B">
        <w:rPr>
          <w:szCs w:val="24"/>
        </w:rPr>
        <w:t xml:space="preserve">Paso 4: Calcula el valor de la función de coste en (8b) con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(1)</m:t>
            </m:r>
          </m:sup>
        </m:sSubSup>
      </m:oMath>
      <w:r w:rsidRPr="0029512B">
        <w:rPr>
          <w:szCs w:val="24"/>
        </w:rPr>
        <w:t xml:space="preserve">. Si se produce en su valor una mejora respecto al asociado a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(0)</m:t>
            </m:r>
          </m:sup>
        </m:sSubSup>
      </m:oMath>
      <w:r w:rsidRPr="0029512B">
        <w:rPr>
          <w:szCs w:val="24"/>
        </w:rPr>
        <w:t xml:space="preserve"> en una cuantía superior a un valor predefinido </w:t>
      </w:r>
      <w:r w:rsidRPr="0029512B">
        <w:rPr>
          <w:i/>
          <w:szCs w:val="24"/>
        </w:rPr>
        <w:sym w:font="Symbol" w:char="F065"/>
      </w:r>
      <w:r w:rsidRPr="0029512B">
        <w:rPr>
          <w:szCs w:val="24"/>
        </w:rPr>
        <w:t xml:space="preserve">, repite los tres pasos anteriores a partir del valor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(1)</m:t>
            </m:r>
          </m:sup>
        </m:sSubSup>
      </m:oMath>
      <w:r w:rsidRPr="0029512B">
        <w:rPr>
          <w:szCs w:val="24"/>
        </w:rPr>
        <w:t xml:space="preserve"> para encontrar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(2)</m:t>
            </m:r>
          </m:sup>
        </m:sSubSup>
      </m:oMath>
      <w:r w:rsidRPr="0029512B">
        <w:rPr>
          <w:szCs w:val="24"/>
        </w:rPr>
        <w:t xml:space="preserve"> e implementa este paso. Así, en la iteración </w:t>
      </w:r>
      <w:r w:rsidRPr="0029512B">
        <w:rPr>
          <w:i/>
          <w:szCs w:val="24"/>
        </w:rPr>
        <w:t>i</w:t>
      </w:r>
      <w:r w:rsidRPr="0029512B">
        <w:rPr>
          <w:szCs w:val="24"/>
        </w:rPr>
        <w:t xml:space="preserve">-ésima, si a partir de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(i)</m:t>
            </m:r>
          </m:sup>
        </m:sSubSup>
      </m:oMath>
      <w:r w:rsidRPr="0029512B">
        <w:rPr>
          <w:szCs w:val="24"/>
        </w:rPr>
        <w:t xml:space="preserve"> se produce una mejora en la función objetiva respecto a </w:t>
      </w:r>
      <m:oMath>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i</m:t>
            </m:r>
            <m:r>
              <w:rPr>
                <w:rFonts w:ascii="Cambria Math" w:hAnsi="Cambria Math"/>
                <w:szCs w:val="24"/>
              </w:rPr>
              <m:t>,</m:t>
            </m:r>
            <m:r>
              <w:rPr>
                <w:rFonts w:ascii="Cambria Math" w:hAnsi="Cambria Math"/>
                <w:szCs w:val="24"/>
                <w:lang w:val="en-US"/>
              </w:rPr>
              <m:t>k</m:t>
            </m:r>
          </m:sub>
          <m:sup>
            <m:r>
              <w:rPr>
                <w:rFonts w:ascii="Cambria Math" w:hAnsi="Cambria Math"/>
                <w:szCs w:val="24"/>
              </w:rPr>
              <m:t>(i-1)</m:t>
            </m:r>
          </m:sup>
        </m:sSubSup>
      </m:oMath>
      <w:r w:rsidRPr="0029512B">
        <w:rPr>
          <w:szCs w:val="24"/>
        </w:rPr>
        <w:t xml:space="preserve"> superior al valor predefinido </w:t>
      </w:r>
      <w:r w:rsidRPr="0029512B">
        <w:rPr>
          <w:i/>
          <w:szCs w:val="24"/>
        </w:rPr>
        <w:sym w:font="Symbol" w:char="F065"/>
      </w:r>
      <w:r w:rsidRPr="0029512B">
        <w:rPr>
          <w:szCs w:val="24"/>
        </w:rPr>
        <w:t xml:space="preserve">, se vuelven a implementar los cuatro pasos descritos. El algoritmo finaliza en el momento en que la iteración no proporciona una mejora en la función de coste superior a </w:t>
      </w:r>
      <w:r w:rsidRPr="0029512B">
        <w:rPr>
          <w:i/>
          <w:szCs w:val="24"/>
        </w:rPr>
        <w:sym w:font="Symbol" w:char="F065"/>
      </w:r>
      <w:r w:rsidRPr="0029512B">
        <w:rPr>
          <w:szCs w:val="24"/>
        </w:rPr>
        <w:t>.</w:t>
      </w:r>
    </w:p>
    <w:p w14:paraId="66423921" w14:textId="77777777" w:rsidR="0029512B" w:rsidRPr="0029512B" w:rsidRDefault="0029512B" w:rsidP="0029512B">
      <w:pPr>
        <w:spacing w:after="240"/>
        <w:ind w:firstLine="567"/>
        <w:jc w:val="both"/>
        <w:rPr>
          <w:szCs w:val="24"/>
        </w:rPr>
      </w:pPr>
      <w:r w:rsidRPr="0029512B">
        <w:rPr>
          <w:szCs w:val="24"/>
        </w:rPr>
        <w:t xml:space="preserve">Una cuestión relevante en el análisis fuzzy k-means es la elección del número óptimo de clústeres </w:t>
      </w:r>
      <w:r w:rsidRPr="0029512B">
        <w:rPr>
          <w:i/>
          <w:szCs w:val="24"/>
        </w:rPr>
        <w:t>K</w:t>
      </w:r>
      <w:r w:rsidRPr="0029512B">
        <w:rPr>
          <w:szCs w:val="24"/>
        </w:rPr>
        <w:t xml:space="preserve">. Esto ha generado una extensa literatura tal como se muestra en el </w:t>
      </w:r>
      <w:r w:rsidRPr="0029512B">
        <w:rPr>
          <w:i/>
          <w:szCs w:val="24"/>
        </w:rPr>
        <w:t>survey</w:t>
      </w:r>
      <w:r w:rsidRPr="0029512B">
        <w:rPr>
          <w:szCs w:val="24"/>
        </w:rPr>
        <w:t xml:space="preserve"> de Wang y Zhang (2007). Aquí utilizamos dos índices de validación del número de clústeres que parten de una filosofía diferente. El primero únicamente utiliza los niveles de pertenencia y es un refinamiento que Dave (1996) hace sobre el clásico índice de Bezdek (1981). Denominamos este índice como </w:t>
      </w:r>
      <w:r w:rsidRPr="0029512B">
        <w:rPr>
          <w:i/>
          <w:szCs w:val="24"/>
        </w:rPr>
        <w:t>IDB</w:t>
      </w:r>
      <w:r w:rsidRPr="0029512B">
        <w:rPr>
          <w:szCs w:val="24"/>
        </w:rPr>
        <w:t xml:space="preserve"> y lo calculamos como</w:t>
      </w:r>
    </w:p>
    <w:p w14:paraId="159682C7" w14:textId="77777777" w:rsidR="0029512B" w:rsidRPr="0029512B" w:rsidRDefault="0029512B" w:rsidP="0029512B">
      <w:pPr>
        <w:spacing w:after="240"/>
        <w:ind w:firstLine="567"/>
        <w:jc w:val="both"/>
        <w:rPr>
          <w:szCs w:val="24"/>
        </w:rPr>
      </w:pPr>
      <m:oMathPara>
        <m:oMath>
          <m:r>
            <w:rPr>
              <w:rFonts w:ascii="Cambria Math" w:hAnsi="Cambria Math"/>
              <w:szCs w:val="24"/>
            </w:rPr>
            <m:t>IDB=1-</m:t>
          </m:r>
          <m:f>
            <m:fPr>
              <m:ctrlPr>
                <w:rPr>
                  <w:rFonts w:ascii="Cambria Math" w:hAnsi="Cambria Math"/>
                  <w:i/>
                  <w:szCs w:val="24"/>
                </w:rPr>
              </m:ctrlPr>
            </m:fPr>
            <m:num>
              <m:r>
                <w:rPr>
                  <w:rFonts w:ascii="Cambria Math" w:hAnsi="Cambria Math"/>
                  <w:szCs w:val="24"/>
                </w:rPr>
                <m:t>K</m:t>
              </m:r>
            </m:num>
            <m:den>
              <m:r>
                <w:rPr>
                  <w:rFonts w:ascii="Cambria Math" w:hAnsi="Cambria Math"/>
                  <w:szCs w:val="24"/>
                </w:rPr>
                <m:t>K-1</m:t>
              </m:r>
            </m:den>
          </m:f>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d>
                        </m:e>
                        <m:sup>
                          <m:r>
                            <w:rPr>
                              <w:rFonts w:ascii="Cambria Math" w:hAnsi="Cambria Math"/>
                              <w:szCs w:val="24"/>
                            </w:rPr>
                            <m:t>2</m:t>
                          </m:r>
                        </m:sup>
                      </m:sSup>
                    </m:e>
                  </m:nary>
                </m:e>
              </m:nary>
            </m:e>
          </m:d>
        </m:oMath>
      </m:oMathPara>
    </w:p>
    <w:p w14:paraId="4A23D353" w14:textId="77777777" w:rsidR="0029512B" w:rsidRPr="0029512B" w:rsidRDefault="0029512B" w:rsidP="0029512B">
      <w:pPr>
        <w:spacing w:after="240"/>
        <w:ind w:firstLine="567"/>
        <w:jc w:val="both"/>
        <w:rPr>
          <w:szCs w:val="24"/>
        </w:rPr>
      </w:pPr>
      <w:r w:rsidRPr="0029512B">
        <w:rPr>
          <w:szCs w:val="24"/>
        </w:rPr>
        <w:lastRenderedPageBreak/>
        <w:t xml:space="preserve">El número óptimo de clústeres es aquel valor de que </w:t>
      </w:r>
      <w:r w:rsidRPr="0029512B">
        <w:rPr>
          <w:i/>
          <w:szCs w:val="24"/>
        </w:rPr>
        <w:t>K</w:t>
      </w:r>
      <w:r w:rsidRPr="0029512B">
        <w:rPr>
          <w:szCs w:val="24"/>
        </w:rPr>
        <w:t xml:space="preserve"> maximice </w:t>
      </w:r>
      <w:r w:rsidRPr="0029512B">
        <w:rPr>
          <w:i/>
          <w:szCs w:val="24"/>
        </w:rPr>
        <w:t>IDB</w:t>
      </w:r>
      <w:r w:rsidRPr="0029512B">
        <w:rPr>
          <w:szCs w:val="24"/>
        </w:rPr>
        <w:t xml:space="preserve"> y, básicamente, será aquella partición que se acerca a una partición </w:t>
      </w:r>
      <w:r w:rsidRPr="0029512B">
        <w:rPr>
          <w:i/>
          <w:szCs w:val="24"/>
        </w:rPr>
        <w:t>hard</w:t>
      </w:r>
      <w:r w:rsidRPr="0029512B">
        <w:rPr>
          <w:szCs w:val="24"/>
        </w:rPr>
        <w:t>.</w:t>
      </w:r>
    </w:p>
    <w:p w14:paraId="5EDEA75E" w14:textId="0AA29461" w:rsidR="0029512B" w:rsidRPr="0029512B" w:rsidRDefault="0029512B" w:rsidP="0029512B">
      <w:pPr>
        <w:spacing w:after="240"/>
        <w:ind w:firstLine="567"/>
        <w:jc w:val="both"/>
        <w:rPr>
          <w:szCs w:val="24"/>
        </w:rPr>
      </w:pPr>
      <w:r w:rsidRPr="0029512B">
        <w:rPr>
          <w:szCs w:val="24"/>
        </w:rPr>
        <w:t xml:space="preserve">El segundo índice que empleamos es el propuesto en Xie y Beni (1991), que Wang </w:t>
      </w:r>
      <w:r>
        <w:rPr>
          <w:szCs w:val="24"/>
        </w:rPr>
        <w:t xml:space="preserve">y </w:t>
      </w:r>
      <w:r w:rsidRPr="0029512B">
        <w:rPr>
          <w:szCs w:val="24"/>
        </w:rPr>
        <w:t xml:space="preserve">Zhang (2007) entienden como más completo ya que, aparte de los niveles de pertenencia, utiliza el valor de las observaciones. El valor óptimo de </w:t>
      </w:r>
      <w:r w:rsidRPr="0029512B">
        <w:rPr>
          <w:i/>
          <w:szCs w:val="24"/>
        </w:rPr>
        <w:t>K</w:t>
      </w:r>
      <w:r w:rsidRPr="0029512B">
        <w:rPr>
          <w:szCs w:val="24"/>
        </w:rPr>
        <w:t xml:space="preserve"> debe minimizar la dispersión dentro de las clases y, al mismo tiempo, maximizar la dispersión entre clases. Si denominamos este índice como </w:t>
      </w:r>
      <w:r w:rsidRPr="0029512B">
        <w:rPr>
          <w:i/>
          <w:szCs w:val="24"/>
        </w:rPr>
        <w:t>IXB</w:t>
      </w:r>
      <w:r w:rsidRPr="0029512B">
        <w:rPr>
          <w:szCs w:val="24"/>
        </w:rPr>
        <w:t xml:space="preserve">, el </w:t>
      </w:r>
      <w:r w:rsidRPr="0029512B">
        <w:rPr>
          <w:i/>
          <w:szCs w:val="24"/>
        </w:rPr>
        <w:t>K</w:t>
      </w:r>
      <w:r w:rsidRPr="0029512B">
        <w:rPr>
          <w:szCs w:val="24"/>
        </w:rPr>
        <w:t xml:space="preserve"> óptimo deberá minimizarlo, ya que:</w:t>
      </w:r>
    </w:p>
    <w:p w14:paraId="1EC7B4D7" w14:textId="77777777" w:rsidR="0029512B" w:rsidRPr="0029512B" w:rsidRDefault="0029512B" w:rsidP="0029512B">
      <w:pPr>
        <w:spacing w:after="240"/>
        <w:ind w:firstLine="567"/>
        <w:jc w:val="both"/>
        <w:rPr>
          <w:szCs w:val="24"/>
        </w:rPr>
      </w:pPr>
      <m:oMathPara>
        <m:oMath>
          <m:r>
            <w:rPr>
              <w:rFonts w:ascii="Cambria Math" w:hAnsi="Cambria Math"/>
              <w:szCs w:val="24"/>
            </w:rPr>
            <m:t>IXB=</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K</m:t>
                  </m:r>
                </m:sup>
                <m:e>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i,k</m:t>
                                  </m:r>
                                </m:sub>
                              </m:sSub>
                            </m:e>
                          </m:d>
                        </m:e>
                        <m:sup>
                          <m:r>
                            <w:rPr>
                              <w:rFonts w:ascii="Cambria Math" w:hAnsi="Cambria Math"/>
                              <w:szCs w:val="24"/>
                            </w:rPr>
                            <m:t>m</m:t>
                          </m:r>
                        </m:sup>
                      </m:sSup>
                    </m:e>
                  </m:nary>
                </m:e>
              </m:nary>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num>
            <m:den>
              <m:r>
                <w:rPr>
                  <w:rFonts w:ascii="Cambria Math" w:hAnsi="Cambria Math"/>
                  <w:szCs w:val="24"/>
                </w:rPr>
                <m:t>n</m:t>
              </m:r>
              <m:sSub>
                <m:sSubPr>
                  <m:ctrlPr>
                    <w:rPr>
                      <w:rFonts w:ascii="Cambria Math" w:hAnsi="Cambria Math"/>
                      <w:i/>
                      <w:szCs w:val="24"/>
                    </w:rPr>
                  </m:ctrlPr>
                </m:sSubPr>
                <m:e>
                  <m:r>
                    <w:rPr>
                      <w:rFonts w:ascii="Cambria Math" w:hAnsi="Cambria Math"/>
                      <w:szCs w:val="24"/>
                    </w:rPr>
                    <m:t>·min</m:t>
                  </m:r>
                </m:e>
                <m:sub>
                  <m:r>
                    <w:rPr>
                      <w:rFonts w:ascii="Cambria Math" w:hAnsi="Cambria Math"/>
                      <w:szCs w:val="24"/>
                    </w:rPr>
                    <m:t>j,k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k</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den>
          </m:f>
        </m:oMath>
      </m:oMathPara>
    </w:p>
    <w:p w14:paraId="466F3011" w14:textId="160AB817" w:rsidR="00113F33" w:rsidRPr="00113F33" w:rsidRDefault="00113F33" w:rsidP="00113F33">
      <w:pPr>
        <w:spacing w:after="240"/>
        <w:jc w:val="both"/>
        <w:rPr>
          <w:b/>
        </w:rPr>
      </w:pPr>
      <w:r w:rsidRPr="00113F33">
        <w:rPr>
          <w:b/>
        </w:rPr>
        <w:t>4.2. Patrones en la eficiencia del gasto social de los estados de la EU15</w:t>
      </w:r>
      <w:r>
        <w:rPr>
          <w:b/>
        </w:rPr>
        <w:t>.</w:t>
      </w:r>
    </w:p>
    <w:p w14:paraId="6B5856B4" w14:textId="77777777" w:rsidR="00113F33" w:rsidRPr="00113F33" w:rsidRDefault="00113F33" w:rsidP="00113F33">
      <w:pPr>
        <w:spacing w:after="240"/>
        <w:jc w:val="both"/>
      </w:pPr>
      <w:r w:rsidRPr="00113F33">
        <w:t>Con la metodología fuzzy clustering ya descrita buscamos identificar los patrones existentes en los países EU15 en el volumen de políticas sociales y su productividad, medida a partir de la modelización DEA en tres niveles:</w:t>
      </w:r>
    </w:p>
    <w:p w14:paraId="37031B7F" w14:textId="77777777" w:rsidR="00113F33" w:rsidRPr="00113F33" w:rsidRDefault="00113F33" w:rsidP="00113F33">
      <w:pPr>
        <w:spacing w:after="240"/>
        <w:ind w:left="426"/>
        <w:jc w:val="both"/>
      </w:pPr>
      <w:r w:rsidRPr="00113F33">
        <w:t xml:space="preserve">a) En primer lugar agrupamos los países por su volumen de </w:t>
      </w:r>
      <w:r w:rsidRPr="00113F33">
        <w:rPr>
          <w:i/>
        </w:rPr>
        <w:t>GS</w:t>
      </w:r>
      <w:r w:rsidRPr="00113F33">
        <w:t xml:space="preserve"> y su productividad en </w:t>
      </w:r>
      <w:r w:rsidRPr="00113F33">
        <w:rPr>
          <w:i/>
        </w:rPr>
        <w:t>RAP</w:t>
      </w:r>
      <w:r w:rsidRPr="00113F33">
        <w:t xml:space="preserve">. Este análisis será denotado como </w:t>
      </w:r>
      <w:r w:rsidRPr="00113F33">
        <w:rPr>
          <w:i/>
        </w:rPr>
        <w:t>GS-RAP</w:t>
      </w:r>
      <w:r w:rsidRPr="00113F33">
        <w:t>.</w:t>
      </w:r>
    </w:p>
    <w:p w14:paraId="0D42A464" w14:textId="77777777" w:rsidR="00113F33" w:rsidRPr="00113F33" w:rsidRDefault="00113F33" w:rsidP="00113F33">
      <w:pPr>
        <w:spacing w:after="240"/>
        <w:ind w:left="426"/>
        <w:jc w:val="both"/>
      </w:pPr>
      <w:r w:rsidRPr="00113F33">
        <w:t xml:space="preserve">b) En segundo lugar repetimos el mismo análisis considerando la productividad de </w:t>
      </w:r>
      <w:r w:rsidRPr="00113F33">
        <w:rPr>
          <w:i/>
        </w:rPr>
        <w:t>GS</w:t>
      </w:r>
      <w:r w:rsidRPr="00113F33">
        <w:t xml:space="preserve"> en </w:t>
      </w:r>
      <w:r w:rsidRPr="00113F33">
        <w:rPr>
          <w:i/>
        </w:rPr>
        <w:t>RAG</w:t>
      </w:r>
      <w:r w:rsidRPr="00113F33">
        <w:t xml:space="preserve">. Nos referimos a este análisis como </w:t>
      </w:r>
      <w:r w:rsidRPr="00113F33">
        <w:rPr>
          <w:i/>
        </w:rPr>
        <w:t>GS-RAG</w:t>
      </w:r>
      <w:r w:rsidRPr="00113F33">
        <w:t>.</w:t>
      </w:r>
    </w:p>
    <w:p w14:paraId="50A94E38" w14:textId="77777777" w:rsidR="00113F33" w:rsidRPr="00113F33" w:rsidRDefault="00113F33" w:rsidP="00113F33">
      <w:pPr>
        <w:spacing w:after="240"/>
        <w:ind w:left="426"/>
        <w:jc w:val="both"/>
      </w:pPr>
      <w:r w:rsidRPr="00113F33">
        <w:t xml:space="preserve">c) Finalmente teniendo en cuenta el volumen de </w:t>
      </w:r>
      <w:r w:rsidRPr="00113F33">
        <w:rPr>
          <w:i/>
        </w:rPr>
        <w:t>GS</w:t>
      </w:r>
      <w:r w:rsidRPr="00113F33">
        <w:t xml:space="preserve"> y su productividad tanto en </w:t>
      </w:r>
      <w:r w:rsidRPr="00113F33">
        <w:rPr>
          <w:i/>
        </w:rPr>
        <w:t>RAP</w:t>
      </w:r>
      <w:r w:rsidRPr="00113F33">
        <w:t xml:space="preserve"> como en </w:t>
      </w:r>
      <w:r w:rsidRPr="00113F33">
        <w:rPr>
          <w:i/>
        </w:rPr>
        <w:t>RAG</w:t>
      </w:r>
      <w:r w:rsidRPr="00113F33">
        <w:t xml:space="preserve"> (</w:t>
      </w:r>
      <w:r w:rsidRPr="00113F33">
        <w:rPr>
          <w:i/>
        </w:rPr>
        <w:t>GS-RAP / RAG</w:t>
      </w:r>
      <w:r w:rsidRPr="00113F33">
        <w:t>).</w:t>
      </w:r>
    </w:p>
    <w:p w14:paraId="49E8B7C0" w14:textId="3BC70104" w:rsidR="003434F6" w:rsidRDefault="00113F33" w:rsidP="00394AD0">
      <w:pPr>
        <w:spacing w:after="240"/>
        <w:ind w:firstLine="567"/>
        <w:jc w:val="both"/>
      </w:pPr>
      <w:r w:rsidRPr="00113F33">
        <w:t xml:space="preserve">En todas las variables, </w:t>
      </w:r>
      <w:r w:rsidRPr="00113F33">
        <w:rPr>
          <w:i/>
        </w:rPr>
        <w:t>GS</w:t>
      </w:r>
      <w:r w:rsidRPr="00113F33">
        <w:t xml:space="preserve"> y el índice de eficiencia, utilizamos sus valores estandarizados. Para establecer el número final de clústeres, tal como sugieren Yu et al. (2012), partiremos de un número máximo de √</w:t>
      </w:r>
      <w:r w:rsidRPr="00113F33">
        <w:rPr>
          <w:i/>
        </w:rPr>
        <w:t>n</w:t>
      </w:r>
      <w:r w:rsidRPr="00113F33">
        <w:t xml:space="preserve"> = √15≈4 y un mínimo de 2. Además, empleamos </w:t>
      </w:r>
      <w:r w:rsidRPr="00113F33">
        <w:rPr>
          <w:i/>
        </w:rPr>
        <w:t>m</w:t>
      </w:r>
      <w:r w:rsidRPr="00113F33">
        <w:t xml:space="preserve"> = 2, que suele ser la alternativa más común en trabajos empíricos. Calculamos los centroides de los clústeres y los niveles de pertenencia de los elementos de la muestra para </w:t>
      </w:r>
      <w:r w:rsidRPr="00113F33">
        <w:rPr>
          <w:i/>
        </w:rPr>
        <w:t>k</w:t>
      </w:r>
      <w:r w:rsidRPr="00113F33">
        <w:t xml:space="preserve"> = 2,3, y 4 y con los índices </w:t>
      </w:r>
      <w:r w:rsidRPr="00113F33">
        <w:rPr>
          <w:i/>
        </w:rPr>
        <w:t>IBX</w:t>
      </w:r>
      <w:r w:rsidRPr="00113F33">
        <w:t xml:space="preserve"> e </w:t>
      </w:r>
      <w:r w:rsidRPr="00113F33">
        <w:rPr>
          <w:i/>
        </w:rPr>
        <w:t>IDB</w:t>
      </w:r>
      <w:r w:rsidRPr="00113F33">
        <w:t xml:space="preserve">, establecemos la partición que entendemos óptima. En la Tabla 6 se recogen los valores que toman los índices </w:t>
      </w:r>
      <w:r w:rsidRPr="00113F33">
        <w:rPr>
          <w:i/>
        </w:rPr>
        <w:t>IDB</w:t>
      </w:r>
      <w:r w:rsidRPr="00113F33">
        <w:t xml:space="preserve"> y </w:t>
      </w:r>
      <w:r w:rsidRPr="00113F33">
        <w:rPr>
          <w:i/>
        </w:rPr>
        <w:t>IXB</w:t>
      </w:r>
      <w:r w:rsidRPr="00113F33">
        <w:t xml:space="preserve"> en los análisis clúster planteados. Puede observarse que en todos los casos los índices de validación sugieren que el número óptimo de grupos es </w:t>
      </w:r>
      <w:r w:rsidRPr="00113F33">
        <w:rPr>
          <w:i/>
        </w:rPr>
        <w:t>K</w:t>
      </w:r>
      <w:r w:rsidRPr="00113F33">
        <w:t xml:space="preserve"> = 3.</w:t>
      </w:r>
    </w:p>
    <w:p w14:paraId="5C7ED888" w14:textId="77777777" w:rsidR="00394AD0" w:rsidRDefault="00394AD0" w:rsidP="00394AD0">
      <w:pPr>
        <w:spacing w:after="240"/>
        <w:ind w:firstLine="567"/>
        <w:jc w:val="both"/>
        <w:rPr>
          <w:b/>
          <w:sz w:val="20"/>
          <w:szCs w:val="20"/>
        </w:rPr>
      </w:pPr>
    </w:p>
    <w:p w14:paraId="7BAE0ACE" w14:textId="35E5BF4D" w:rsidR="00113F33" w:rsidRPr="00113F33" w:rsidRDefault="00113F33" w:rsidP="00113F33">
      <w:pPr>
        <w:spacing w:after="240"/>
        <w:jc w:val="center"/>
        <w:rPr>
          <w:b/>
          <w:sz w:val="20"/>
          <w:szCs w:val="20"/>
        </w:rPr>
      </w:pPr>
      <w:r w:rsidRPr="00113F33">
        <w:rPr>
          <w:b/>
          <w:sz w:val="20"/>
          <w:szCs w:val="20"/>
        </w:rPr>
        <w:t>Tabla 6. Índices de validación de número de clústeres en un análisis fuzzy k-means.</w:t>
      </w:r>
    </w:p>
    <w:tbl>
      <w:tblPr>
        <w:tblW w:w="84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113F33" w:rsidRPr="00113F33" w14:paraId="3F5B9F48" w14:textId="77777777" w:rsidTr="003434F6">
        <w:trPr>
          <w:trHeight w:val="300"/>
        </w:trPr>
        <w:tc>
          <w:tcPr>
            <w:tcW w:w="1200" w:type="dxa"/>
            <w:shd w:val="clear" w:color="auto" w:fill="auto"/>
            <w:noWrap/>
            <w:vAlign w:val="bottom"/>
          </w:tcPr>
          <w:p w14:paraId="5EE17C2B" w14:textId="77777777" w:rsidR="00113F33" w:rsidRPr="00113F33" w:rsidRDefault="00113F33" w:rsidP="00113F33">
            <w:pPr>
              <w:spacing w:after="240"/>
              <w:jc w:val="center"/>
              <w:rPr>
                <w:rFonts w:eastAsia="Times New Roman"/>
                <w:sz w:val="20"/>
                <w:szCs w:val="20"/>
              </w:rPr>
            </w:pPr>
          </w:p>
        </w:tc>
        <w:tc>
          <w:tcPr>
            <w:tcW w:w="2400" w:type="dxa"/>
            <w:gridSpan w:val="2"/>
            <w:shd w:val="clear" w:color="auto" w:fill="auto"/>
            <w:noWrap/>
            <w:vAlign w:val="bottom"/>
          </w:tcPr>
          <w:p w14:paraId="0B6556DD"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Análisis GS-RAP</w:t>
            </w:r>
          </w:p>
        </w:tc>
        <w:tc>
          <w:tcPr>
            <w:tcW w:w="2400" w:type="dxa"/>
            <w:gridSpan w:val="2"/>
            <w:shd w:val="clear" w:color="auto" w:fill="auto"/>
            <w:noWrap/>
            <w:vAlign w:val="bottom"/>
          </w:tcPr>
          <w:p w14:paraId="49C21C93"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Análisis GS-RAG</w:t>
            </w:r>
          </w:p>
        </w:tc>
        <w:tc>
          <w:tcPr>
            <w:tcW w:w="2400" w:type="dxa"/>
            <w:gridSpan w:val="2"/>
            <w:shd w:val="clear" w:color="auto" w:fill="auto"/>
            <w:noWrap/>
            <w:vAlign w:val="bottom"/>
          </w:tcPr>
          <w:p w14:paraId="36CF0766"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Análisis GS-RAP/RAG</w:t>
            </w:r>
          </w:p>
        </w:tc>
      </w:tr>
      <w:tr w:rsidR="00113F33" w:rsidRPr="00113F33" w14:paraId="48E7263C" w14:textId="77777777" w:rsidTr="003434F6">
        <w:trPr>
          <w:trHeight w:val="300"/>
        </w:trPr>
        <w:tc>
          <w:tcPr>
            <w:tcW w:w="1200" w:type="dxa"/>
            <w:shd w:val="clear" w:color="auto" w:fill="auto"/>
            <w:noWrap/>
            <w:vAlign w:val="bottom"/>
            <w:hideMark/>
          </w:tcPr>
          <w:p w14:paraId="38FA7515"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k</w:t>
            </w:r>
          </w:p>
        </w:tc>
        <w:tc>
          <w:tcPr>
            <w:tcW w:w="1200" w:type="dxa"/>
            <w:shd w:val="clear" w:color="auto" w:fill="auto"/>
            <w:noWrap/>
            <w:vAlign w:val="bottom"/>
          </w:tcPr>
          <w:p w14:paraId="7B6A7DFE"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IDB</w:t>
            </w:r>
          </w:p>
        </w:tc>
        <w:tc>
          <w:tcPr>
            <w:tcW w:w="1200" w:type="dxa"/>
            <w:shd w:val="clear" w:color="auto" w:fill="auto"/>
            <w:noWrap/>
            <w:vAlign w:val="bottom"/>
          </w:tcPr>
          <w:p w14:paraId="3F707189"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IXB</w:t>
            </w:r>
          </w:p>
        </w:tc>
        <w:tc>
          <w:tcPr>
            <w:tcW w:w="1200" w:type="dxa"/>
            <w:shd w:val="clear" w:color="auto" w:fill="auto"/>
            <w:noWrap/>
            <w:vAlign w:val="bottom"/>
          </w:tcPr>
          <w:p w14:paraId="57C05CC6"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IDB</w:t>
            </w:r>
          </w:p>
        </w:tc>
        <w:tc>
          <w:tcPr>
            <w:tcW w:w="1200" w:type="dxa"/>
            <w:shd w:val="clear" w:color="auto" w:fill="auto"/>
            <w:noWrap/>
            <w:vAlign w:val="bottom"/>
          </w:tcPr>
          <w:p w14:paraId="09B40720"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IXB</w:t>
            </w:r>
          </w:p>
        </w:tc>
        <w:tc>
          <w:tcPr>
            <w:tcW w:w="1200" w:type="dxa"/>
            <w:shd w:val="clear" w:color="auto" w:fill="auto"/>
            <w:noWrap/>
            <w:vAlign w:val="bottom"/>
          </w:tcPr>
          <w:p w14:paraId="5A821F61"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IDB</w:t>
            </w:r>
          </w:p>
        </w:tc>
        <w:tc>
          <w:tcPr>
            <w:tcW w:w="1200" w:type="dxa"/>
            <w:shd w:val="clear" w:color="auto" w:fill="auto"/>
            <w:noWrap/>
            <w:vAlign w:val="bottom"/>
          </w:tcPr>
          <w:p w14:paraId="4CFAB463" w14:textId="77777777" w:rsidR="00113F33" w:rsidRPr="00113F33" w:rsidRDefault="00113F33" w:rsidP="00113F33">
            <w:pPr>
              <w:spacing w:after="240"/>
              <w:jc w:val="center"/>
              <w:rPr>
                <w:rFonts w:eastAsia="Times New Roman"/>
                <w:i/>
                <w:sz w:val="20"/>
                <w:szCs w:val="20"/>
              </w:rPr>
            </w:pPr>
            <w:r w:rsidRPr="00113F33">
              <w:rPr>
                <w:rFonts w:eastAsia="Times New Roman"/>
                <w:i/>
                <w:sz w:val="20"/>
                <w:szCs w:val="20"/>
              </w:rPr>
              <w:t>IXB</w:t>
            </w:r>
          </w:p>
        </w:tc>
      </w:tr>
      <w:tr w:rsidR="00113F33" w:rsidRPr="00113F33" w14:paraId="0E84DA30" w14:textId="77777777" w:rsidTr="003434F6">
        <w:trPr>
          <w:trHeight w:val="300"/>
        </w:trPr>
        <w:tc>
          <w:tcPr>
            <w:tcW w:w="1200" w:type="dxa"/>
            <w:shd w:val="clear" w:color="auto" w:fill="auto"/>
            <w:noWrap/>
            <w:vAlign w:val="bottom"/>
            <w:hideMark/>
          </w:tcPr>
          <w:p w14:paraId="66B2B7B1"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2</w:t>
            </w:r>
          </w:p>
        </w:tc>
        <w:tc>
          <w:tcPr>
            <w:tcW w:w="1200" w:type="dxa"/>
            <w:shd w:val="clear" w:color="auto" w:fill="auto"/>
            <w:noWrap/>
            <w:vAlign w:val="bottom"/>
          </w:tcPr>
          <w:p w14:paraId="713DF0B7"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-0,1043</w:t>
            </w:r>
          </w:p>
        </w:tc>
        <w:tc>
          <w:tcPr>
            <w:tcW w:w="1200" w:type="dxa"/>
            <w:shd w:val="clear" w:color="auto" w:fill="auto"/>
            <w:noWrap/>
            <w:vAlign w:val="bottom"/>
          </w:tcPr>
          <w:p w14:paraId="7048A080"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0,0850</w:t>
            </w:r>
          </w:p>
        </w:tc>
        <w:tc>
          <w:tcPr>
            <w:tcW w:w="1200" w:type="dxa"/>
            <w:shd w:val="clear" w:color="auto" w:fill="auto"/>
            <w:noWrap/>
            <w:vAlign w:val="bottom"/>
          </w:tcPr>
          <w:p w14:paraId="2D4250CD"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-0,1714</w:t>
            </w:r>
          </w:p>
        </w:tc>
        <w:tc>
          <w:tcPr>
            <w:tcW w:w="1200" w:type="dxa"/>
            <w:shd w:val="clear" w:color="auto" w:fill="auto"/>
            <w:noWrap/>
            <w:vAlign w:val="bottom"/>
          </w:tcPr>
          <w:p w14:paraId="64229D84"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0,1365</w:t>
            </w:r>
          </w:p>
        </w:tc>
        <w:tc>
          <w:tcPr>
            <w:tcW w:w="1200" w:type="dxa"/>
            <w:shd w:val="clear" w:color="auto" w:fill="auto"/>
            <w:noWrap/>
            <w:vAlign w:val="bottom"/>
          </w:tcPr>
          <w:p w14:paraId="1F01B103"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-0,1583</w:t>
            </w:r>
          </w:p>
        </w:tc>
        <w:tc>
          <w:tcPr>
            <w:tcW w:w="1200" w:type="dxa"/>
            <w:shd w:val="clear" w:color="auto" w:fill="auto"/>
            <w:noWrap/>
            <w:vAlign w:val="bottom"/>
          </w:tcPr>
          <w:p w14:paraId="1EF094B0"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0,1521</w:t>
            </w:r>
          </w:p>
        </w:tc>
      </w:tr>
      <w:tr w:rsidR="00113F33" w:rsidRPr="00113F33" w14:paraId="52E54E7F" w14:textId="77777777" w:rsidTr="003434F6">
        <w:trPr>
          <w:trHeight w:val="300"/>
        </w:trPr>
        <w:tc>
          <w:tcPr>
            <w:tcW w:w="1200" w:type="dxa"/>
            <w:shd w:val="clear" w:color="auto" w:fill="auto"/>
            <w:noWrap/>
            <w:vAlign w:val="bottom"/>
            <w:hideMark/>
          </w:tcPr>
          <w:p w14:paraId="19B32A66"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3</w:t>
            </w:r>
          </w:p>
        </w:tc>
        <w:tc>
          <w:tcPr>
            <w:tcW w:w="1200" w:type="dxa"/>
            <w:shd w:val="clear" w:color="auto" w:fill="auto"/>
            <w:noWrap/>
            <w:vAlign w:val="bottom"/>
          </w:tcPr>
          <w:p w14:paraId="096E3F0F"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0,1897</w:t>
            </w:r>
          </w:p>
        </w:tc>
        <w:tc>
          <w:tcPr>
            <w:tcW w:w="1200" w:type="dxa"/>
            <w:shd w:val="clear" w:color="auto" w:fill="auto"/>
            <w:noWrap/>
            <w:vAlign w:val="bottom"/>
          </w:tcPr>
          <w:p w14:paraId="6575D82C"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0,0239</w:t>
            </w:r>
          </w:p>
        </w:tc>
        <w:tc>
          <w:tcPr>
            <w:tcW w:w="1200" w:type="dxa"/>
            <w:shd w:val="clear" w:color="auto" w:fill="auto"/>
            <w:noWrap/>
            <w:vAlign w:val="bottom"/>
          </w:tcPr>
          <w:p w14:paraId="74F2F2E3"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0,1454</w:t>
            </w:r>
          </w:p>
        </w:tc>
        <w:tc>
          <w:tcPr>
            <w:tcW w:w="1200" w:type="dxa"/>
            <w:shd w:val="clear" w:color="auto" w:fill="auto"/>
            <w:noWrap/>
            <w:vAlign w:val="bottom"/>
          </w:tcPr>
          <w:p w14:paraId="275CE5AD"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0,0433</w:t>
            </w:r>
          </w:p>
        </w:tc>
        <w:tc>
          <w:tcPr>
            <w:tcW w:w="1200" w:type="dxa"/>
            <w:shd w:val="clear" w:color="auto" w:fill="auto"/>
            <w:noWrap/>
            <w:vAlign w:val="bottom"/>
          </w:tcPr>
          <w:p w14:paraId="31E3F763"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0,1454</w:t>
            </w:r>
          </w:p>
        </w:tc>
        <w:tc>
          <w:tcPr>
            <w:tcW w:w="1200" w:type="dxa"/>
            <w:shd w:val="clear" w:color="auto" w:fill="auto"/>
            <w:noWrap/>
            <w:vAlign w:val="bottom"/>
          </w:tcPr>
          <w:p w14:paraId="11966D21" w14:textId="77777777" w:rsidR="00113F33" w:rsidRPr="00113F33" w:rsidRDefault="00113F33" w:rsidP="00113F33">
            <w:pPr>
              <w:spacing w:after="240"/>
              <w:jc w:val="center"/>
              <w:rPr>
                <w:rFonts w:eastAsia="Times New Roman"/>
                <w:b/>
                <w:sz w:val="20"/>
                <w:szCs w:val="20"/>
              </w:rPr>
            </w:pPr>
            <w:r w:rsidRPr="00113F33">
              <w:rPr>
                <w:rFonts w:eastAsia="Times New Roman"/>
                <w:b/>
                <w:sz w:val="20"/>
                <w:szCs w:val="20"/>
              </w:rPr>
              <w:t>0,0530</w:t>
            </w:r>
          </w:p>
        </w:tc>
      </w:tr>
      <w:tr w:rsidR="00113F33" w:rsidRPr="00113F33" w14:paraId="7AF28DFF" w14:textId="77777777" w:rsidTr="003434F6">
        <w:trPr>
          <w:trHeight w:val="300"/>
        </w:trPr>
        <w:tc>
          <w:tcPr>
            <w:tcW w:w="1200" w:type="dxa"/>
            <w:shd w:val="clear" w:color="auto" w:fill="auto"/>
            <w:noWrap/>
            <w:vAlign w:val="bottom"/>
            <w:hideMark/>
          </w:tcPr>
          <w:p w14:paraId="4201513A"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4</w:t>
            </w:r>
          </w:p>
        </w:tc>
        <w:tc>
          <w:tcPr>
            <w:tcW w:w="1200" w:type="dxa"/>
            <w:shd w:val="clear" w:color="auto" w:fill="auto"/>
            <w:noWrap/>
            <w:vAlign w:val="bottom"/>
          </w:tcPr>
          <w:p w14:paraId="4795F7E9"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0,1031</w:t>
            </w:r>
          </w:p>
        </w:tc>
        <w:tc>
          <w:tcPr>
            <w:tcW w:w="1200" w:type="dxa"/>
            <w:shd w:val="clear" w:color="auto" w:fill="auto"/>
            <w:noWrap/>
            <w:vAlign w:val="bottom"/>
          </w:tcPr>
          <w:p w14:paraId="5F547751"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0,0995</w:t>
            </w:r>
          </w:p>
        </w:tc>
        <w:tc>
          <w:tcPr>
            <w:tcW w:w="1200" w:type="dxa"/>
            <w:shd w:val="clear" w:color="auto" w:fill="auto"/>
            <w:noWrap/>
            <w:vAlign w:val="bottom"/>
          </w:tcPr>
          <w:p w14:paraId="467237D1"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0,1110</w:t>
            </w:r>
          </w:p>
        </w:tc>
        <w:tc>
          <w:tcPr>
            <w:tcW w:w="1200" w:type="dxa"/>
            <w:shd w:val="clear" w:color="auto" w:fill="auto"/>
            <w:noWrap/>
            <w:vAlign w:val="bottom"/>
          </w:tcPr>
          <w:p w14:paraId="26D41B27"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0,0657</w:t>
            </w:r>
          </w:p>
        </w:tc>
        <w:tc>
          <w:tcPr>
            <w:tcW w:w="1200" w:type="dxa"/>
            <w:shd w:val="clear" w:color="auto" w:fill="auto"/>
            <w:noWrap/>
            <w:vAlign w:val="bottom"/>
          </w:tcPr>
          <w:p w14:paraId="322272EC"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0,0819</w:t>
            </w:r>
          </w:p>
        </w:tc>
        <w:tc>
          <w:tcPr>
            <w:tcW w:w="1200" w:type="dxa"/>
            <w:shd w:val="clear" w:color="auto" w:fill="auto"/>
            <w:noWrap/>
            <w:vAlign w:val="bottom"/>
          </w:tcPr>
          <w:p w14:paraId="6E9F93B6" w14:textId="77777777" w:rsidR="00113F33" w:rsidRPr="00113F33" w:rsidRDefault="00113F33" w:rsidP="00113F33">
            <w:pPr>
              <w:spacing w:after="240"/>
              <w:jc w:val="center"/>
              <w:rPr>
                <w:rFonts w:eastAsia="Times New Roman"/>
                <w:sz w:val="20"/>
                <w:szCs w:val="20"/>
              </w:rPr>
            </w:pPr>
            <w:r w:rsidRPr="00113F33">
              <w:rPr>
                <w:rFonts w:eastAsia="Times New Roman"/>
                <w:sz w:val="20"/>
                <w:szCs w:val="20"/>
              </w:rPr>
              <w:t>0,1455</w:t>
            </w:r>
          </w:p>
        </w:tc>
      </w:tr>
    </w:tbl>
    <w:p w14:paraId="463E6A98" w14:textId="13D0274E" w:rsidR="00113F33" w:rsidRDefault="00113F33" w:rsidP="00113F33">
      <w:pPr>
        <w:spacing w:after="240"/>
        <w:jc w:val="center"/>
        <w:rPr>
          <w:sz w:val="20"/>
          <w:szCs w:val="20"/>
        </w:rPr>
      </w:pPr>
      <w:r w:rsidRPr="00113F33">
        <w:rPr>
          <w:sz w:val="20"/>
          <w:szCs w:val="20"/>
        </w:rPr>
        <w:t xml:space="preserve">Fuente: Elaboración propia a partir de datos de Eurostat, 2018. </w:t>
      </w:r>
    </w:p>
    <w:p w14:paraId="3380A7D7" w14:textId="4FD2D640" w:rsidR="00113F33" w:rsidRDefault="00113F33" w:rsidP="00113F33">
      <w:pPr>
        <w:spacing w:after="240"/>
        <w:jc w:val="center"/>
        <w:rPr>
          <w:sz w:val="20"/>
          <w:szCs w:val="20"/>
        </w:rPr>
      </w:pPr>
    </w:p>
    <w:p w14:paraId="66722D37" w14:textId="77777777" w:rsidR="004959DF" w:rsidRPr="00113F33" w:rsidRDefault="004959DF" w:rsidP="00113F33">
      <w:pPr>
        <w:spacing w:after="240"/>
        <w:jc w:val="center"/>
        <w:rPr>
          <w:sz w:val="20"/>
          <w:szCs w:val="20"/>
        </w:rPr>
      </w:pPr>
    </w:p>
    <w:p w14:paraId="5B284F88" w14:textId="32BAE9CC" w:rsidR="00113F33" w:rsidRPr="00113F33" w:rsidRDefault="00113F33" w:rsidP="00113F33">
      <w:pPr>
        <w:spacing w:after="240"/>
        <w:jc w:val="both"/>
        <w:rPr>
          <w:b/>
          <w:szCs w:val="24"/>
        </w:rPr>
      </w:pPr>
      <w:r w:rsidRPr="00113F33">
        <w:rPr>
          <w:b/>
          <w:szCs w:val="24"/>
        </w:rPr>
        <w:lastRenderedPageBreak/>
        <w:t>4.2.1. Patrones de eficiencia del gasto social en la reducción de la pobreza</w:t>
      </w:r>
      <w:r>
        <w:rPr>
          <w:b/>
          <w:szCs w:val="24"/>
        </w:rPr>
        <w:t>.</w:t>
      </w:r>
    </w:p>
    <w:p w14:paraId="2D116AEF" w14:textId="77777777" w:rsidR="00113F33" w:rsidRPr="00113F33" w:rsidRDefault="00113F33" w:rsidP="00113F33">
      <w:pPr>
        <w:spacing w:after="240"/>
        <w:jc w:val="both"/>
        <w:rPr>
          <w:szCs w:val="24"/>
        </w:rPr>
      </w:pPr>
      <w:r w:rsidRPr="00113F33">
        <w:rPr>
          <w:szCs w:val="24"/>
        </w:rPr>
        <w:t>La Tabla 7 recoge los valores estandarizados de GS y el índice de eficiencia y los niveles de pertenencia de cada país a los tres clústeres, mientras que la Tabla 8 muestra sus centroides.</w:t>
      </w:r>
    </w:p>
    <w:p w14:paraId="08A52B71" w14:textId="2C96A5B2" w:rsidR="00113F33" w:rsidRDefault="00113F33" w:rsidP="00113F33">
      <w:pPr>
        <w:spacing w:after="240"/>
        <w:ind w:firstLine="567"/>
        <w:jc w:val="both"/>
        <w:rPr>
          <w:szCs w:val="24"/>
        </w:rPr>
      </w:pPr>
      <w:r w:rsidRPr="00113F33">
        <w:rPr>
          <w:szCs w:val="24"/>
        </w:rPr>
        <w:t xml:space="preserve">De los tres grupos identificados, los dos primeros se componen de países que, en general, son eficientes en la reducción de la pobreza pero que difieren en el volumen del </w:t>
      </w:r>
      <w:r w:rsidRPr="00113F33">
        <w:rPr>
          <w:i/>
          <w:szCs w:val="24"/>
        </w:rPr>
        <w:t>GS</w:t>
      </w:r>
      <w:r w:rsidRPr="00113F33">
        <w:rPr>
          <w:szCs w:val="24"/>
        </w:rPr>
        <w:t xml:space="preserve">. El primer clúster, engloba países con EB nórdico (Dinamarca, Holanda y Finlandia) o continental (Austria y Francia). Estos países manifiestan eficiencia en la reducción de la pobreza y presentan un nivel de </w:t>
      </w:r>
      <w:r w:rsidRPr="00113F33">
        <w:rPr>
          <w:i/>
          <w:szCs w:val="24"/>
        </w:rPr>
        <w:t>GS</w:t>
      </w:r>
      <w:r w:rsidRPr="00113F33">
        <w:rPr>
          <w:szCs w:val="24"/>
        </w:rPr>
        <w:t xml:space="preserve"> claramente por encima del promedio de la EU15. En el segundo hay dos países, Luxemburgo e Irlanda, eficientes según el análisis DEA pero con </w:t>
      </w:r>
      <w:r w:rsidRPr="00113F33">
        <w:rPr>
          <w:i/>
          <w:szCs w:val="24"/>
        </w:rPr>
        <w:t>GS</w:t>
      </w:r>
      <w:r w:rsidRPr="00113F33">
        <w:rPr>
          <w:szCs w:val="24"/>
        </w:rPr>
        <w:t xml:space="preserve"> notablemente por debajo del promedio de la EU15. El sensible nivel de pertenencia a este segundo grupo de España se explica por su similitud en cuanto al </w:t>
      </w:r>
      <w:r w:rsidRPr="00113F33">
        <w:rPr>
          <w:i/>
          <w:szCs w:val="24"/>
        </w:rPr>
        <w:t>GS</w:t>
      </w:r>
      <w:r w:rsidRPr="00113F33">
        <w:rPr>
          <w:szCs w:val="24"/>
        </w:rPr>
        <w:t xml:space="preserve"> (de los más reducidos de la EU15) y no por su grado de eficiencia, que está por debajo del promedio.</w:t>
      </w:r>
    </w:p>
    <w:p w14:paraId="2A5F6B5E" w14:textId="77777777" w:rsidR="004959DF" w:rsidRPr="00113F33" w:rsidRDefault="004959DF" w:rsidP="00113F33">
      <w:pPr>
        <w:spacing w:after="240"/>
        <w:ind w:firstLine="567"/>
        <w:jc w:val="both"/>
        <w:rPr>
          <w:szCs w:val="24"/>
        </w:rPr>
      </w:pPr>
    </w:p>
    <w:p w14:paraId="1597BD34" w14:textId="1C125393" w:rsidR="00113F33" w:rsidRDefault="00113F33" w:rsidP="00113F33">
      <w:pPr>
        <w:jc w:val="center"/>
        <w:rPr>
          <w:b/>
          <w:i/>
          <w:sz w:val="20"/>
          <w:szCs w:val="20"/>
        </w:rPr>
      </w:pPr>
      <w:r w:rsidRPr="00113F33">
        <w:rPr>
          <w:b/>
          <w:sz w:val="20"/>
          <w:szCs w:val="20"/>
        </w:rPr>
        <w:t xml:space="preserve">Tabla 7. Grupos del análisis cluster fuzzy k-means </w:t>
      </w:r>
      <w:r w:rsidRPr="00113F33">
        <w:rPr>
          <w:b/>
          <w:i/>
          <w:sz w:val="20"/>
          <w:szCs w:val="20"/>
        </w:rPr>
        <w:t>GS-RAP.</w:t>
      </w:r>
    </w:p>
    <w:p w14:paraId="061CECD2" w14:textId="77777777" w:rsidR="00113F33" w:rsidRPr="00113F33" w:rsidRDefault="00113F33" w:rsidP="00113F33">
      <w:pPr>
        <w:jc w:val="center"/>
        <w:rPr>
          <w:b/>
          <w:sz w:val="20"/>
          <w:szCs w:val="20"/>
        </w:rPr>
      </w:pPr>
    </w:p>
    <w:tbl>
      <w:tblPr>
        <w:tblW w:w="5000" w:type="pct"/>
        <w:tblCellMar>
          <w:left w:w="70" w:type="dxa"/>
          <w:right w:w="70" w:type="dxa"/>
        </w:tblCellMar>
        <w:tblLook w:val="04A0" w:firstRow="1" w:lastRow="0" w:firstColumn="1" w:lastColumn="0" w:noHBand="0" w:noVBand="1"/>
      </w:tblPr>
      <w:tblGrid>
        <w:gridCol w:w="1601"/>
        <w:gridCol w:w="1428"/>
        <w:gridCol w:w="1696"/>
        <w:gridCol w:w="1428"/>
        <w:gridCol w:w="1428"/>
        <w:gridCol w:w="1429"/>
      </w:tblGrid>
      <w:tr w:rsidR="00113F33" w:rsidRPr="003434F6" w14:paraId="71DC2A57" w14:textId="77777777" w:rsidTr="006A0594">
        <w:trPr>
          <w:trHeight w:val="300"/>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33CD" w14:textId="77777777" w:rsidR="00113F33" w:rsidRPr="003434F6" w:rsidRDefault="00113F33" w:rsidP="006A0594">
            <w:pPr>
              <w:rPr>
                <w:rFonts w:eastAsia="Times New Roman"/>
                <w:b/>
                <w:color w:val="000000"/>
                <w:sz w:val="20"/>
                <w:szCs w:val="20"/>
              </w:rPr>
            </w:pPr>
            <w:r w:rsidRPr="003434F6">
              <w:rPr>
                <w:rFonts w:eastAsia="Times New Roman"/>
                <w:b/>
                <w:color w:val="000000"/>
                <w:sz w:val="20"/>
                <w:szCs w:val="20"/>
              </w:rPr>
              <w:t> </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7BCA3D59" w14:textId="77777777" w:rsidR="00113F33" w:rsidRPr="003434F6" w:rsidRDefault="00113F33" w:rsidP="006A0594">
            <w:pPr>
              <w:jc w:val="center"/>
              <w:rPr>
                <w:rFonts w:eastAsia="Times New Roman"/>
                <w:b/>
                <w:color w:val="000000"/>
                <w:sz w:val="20"/>
                <w:szCs w:val="20"/>
              </w:rPr>
            </w:pPr>
            <w:r w:rsidRPr="003434F6">
              <w:rPr>
                <w:rFonts w:eastAsia="Times New Roman"/>
                <w:b/>
                <w:color w:val="000000"/>
                <w:sz w:val="20"/>
                <w:szCs w:val="20"/>
              </w:rPr>
              <w:t>GS</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18A08588" w14:textId="77777777" w:rsidR="00113F33" w:rsidRPr="003434F6" w:rsidRDefault="00113F33" w:rsidP="006A0594">
            <w:pPr>
              <w:jc w:val="center"/>
              <w:rPr>
                <w:rFonts w:eastAsia="Times New Roman"/>
                <w:b/>
                <w:color w:val="000000"/>
                <w:sz w:val="20"/>
                <w:szCs w:val="20"/>
              </w:rPr>
            </w:pPr>
            <w:r w:rsidRPr="003434F6">
              <w:rPr>
                <w:rFonts w:eastAsia="Times New Roman"/>
                <w:b/>
                <w:color w:val="000000"/>
                <w:sz w:val="20"/>
                <w:szCs w:val="20"/>
              </w:rPr>
              <w:t>Eficiencia en RAP</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612F722B"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i1</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743BCB90"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color w:val="000000"/>
                <w:sz w:val="20"/>
                <w:szCs w:val="20"/>
                <w:vertAlign w:val="subscript"/>
              </w:rPr>
              <w:t>2</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34FD3B64"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color w:val="000000"/>
                <w:sz w:val="20"/>
                <w:szCs w:val="20"/>
                <w:vertAlign w:val="subscript"/>
              </w:rPr>
              <w:t>3</w:t>
            </w:r>
          </w:p>
        </w:tc>
      </w:tr>
      <w:tr w:rsidR="00113F33" w:rsidRPr="00113F33" w14:paraId="2AEE4C77"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26514298"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Alemania</w:t>
            </w:r>
          </w:p>
        </w:tc>
        <w:tc>
          <w:tcPr>
            <w:tcW w:w="817" w:type="pct"/>
            <w:tcBorders>
              <w:top w:val="nil"/>
              <w:left w:val="nil"/>
              <w:bottom w:val="single" w:sz="4" w:space="0" w:color="auto"/>
              <w:right w:val="single" w:sz="4" w:space="0" w:color="auto"/>
            </w:tcBorders>
            <w:shd w:val="clear" w:color="auto" w:fill="auto"/>
            <w:noWrap/>
            <w:vAlign w:val="center"/>
            <w:hideMark/>
          </w:tcPr>
          <w:p w14:paraId="167485C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0,146</w:t>
            </w:r>
          </w:p>
        </w:tc>
        <w:tc>
          <w:tcPr>
            <w:tcW w:w="817" w:type="pct"/>
            <w:tcBorders>
              <w:top w:val="nil"/>
              <w:left w:val="nil"/>
              <w:bottom w:val="single" w:sz="4" w:space="0" w:color="auto"/>
              <w:right w:val="single" w:sz="4" w:space="0" w:color="auto"/>
            </w:tcBorders>
            <w:shd w:val="clear" w:color="auto" w:fill="auto"/>
            <w:noWrap/>
            <w:vAlign w:val="center"/>
            <w:hideMark/>
          </w:tcPr>
          <w:p w14:paraId="0F3D04D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-0,496</w:t>
            </w:r>
          </w:p>
        </w:tc>
        <w:tc>
          <w:tcPr>
            <w:tcW w:w="817" w:type="pct"/>
            <w:tcBorders>
              <w:top w:val="nil"/>
              <w:left w:val="nil"/>
              <w:bottom w:val="single" w:sz="4" w:space="0" w:color="auto"/>
              <w:right w:val="single" w:sz="4" w:space="0" w:color="auto"/>
            </w:tcBorders>
            <w:shd w:val="clear" w:color="auto" w:fill="auto"/>
            <w:noWrap/>
            <w:vAlign w:val="center"/>
            <w:hideMark/>
          </w:tcPr>
          <w:p w14:paraId="32EFE5B4"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0,036</w:t>
            </w:r>
          </w:p>
        </w:tc>
        <w:tc>
          <w:tcPr>
            <w:tcW w:w="817" w:type="pct"/>
            <w:tcBorders>
              <w:top w:val="nil"/>
              <w:left w:val="nil"/>
              <w:bottom w:val="single" w:sz="4" w:space="0" w:color="auto"/>
              <w:right w:val="single" w:sz="4" w:space="0" w:color="auto"/>
            </w:tcBorders>
            <w:shd w:val="clear" w:color="auto" w:fill="auto"/>
            <w:vAlign w:val="center"/>
            <w:hideMark/>
          </w:tcPr>
          <w:p w14:paraId="384C014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0,016</w:t>
            </w:r>
          </w:p>
        </w:tc>
        <w:tc>
          <w:tcPr>
            <w:tcW w:w="817" w:type="pct"/>
            <w:tcBorders>
              <w:top w:val="nil"/>
              <w:left w:val="nil"/>
              <w:bottom w:val="single" w:sz="4" w:space="0" w:color="auto"/>
              <w:right w:val="single" w:sz="4" w:space="0" w:color="auto"/>
            </w:tcBorders>
            <w:shd w:val="clear" w:color="auto" w:fill="auto"/>
            <w:noWrap/>
            <w:vAlign w:val="center"/>
            <w:hideMark/>
          </w:tcPr>
          <w:p w14:paraId="56DB0226"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0,948</w:t>
            </w:r>
          </w:p>
        </w:tc>
      </w:tr>
      <w:tr w:rsidR="00113F33" w:rsidRPr="00113F33" w14:paraId="550C46F1"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12F830D9"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Austria</w:t>
            </w:r>
          </w:p>
        </w:tc>
        <w:tc>
          <w:tcPr>
            <w:tcW w:w="817" w:type="pct"/>
            <w:tcBorders>
              <w:top w:val="nil"/>
              <w:left w:val="nil"/>
              <w:bottom w:val="single" w:sz="4" w:space="0" w:color="auto"/>
              <w:right w:val="single" w:sz="4" w:space="0" w:color="auto"/>
            </w:tcBorders>
            <w:shd w:val="clear" w:color="auto" w:fill="auto"/>
            <w:noWrap/>
            <w:vAlign w:val="center"/>
            <w:hideMark/>
          </w:tcPr>
          <w:p w14:paraId="5676B07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0,323</w:t>
            </w:r>
          </w:p>
        </w:tc>
        <w:tc>
          <w:tcPr>
            <w:tcW w:w="817" w:type="pct"/>
            <w:tcBorders>
              <w:top w:val="nil"/>
              <w:left w:val="nil"/>
              <w:bottom w:val="single" w:sz="4" w:space="0" w:color="auto"/>
              <w:right w:val="single" w:sz="4" w:space="0" w:color="auto"/>
            </w:tcBorders>
            <w:shd w:val="clear" w:color="auto" w:fill="auto"/>
            <w:noWrap/>
            <w:vAlign w:val="center"/>
            <w:hideMark/>
          </w:tcPr>
          <w:p w14:paraId="225D024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0,426</w:t>
            </w:r>
          </w:p>
        </w:tc>
        <w:tc>
          <w:tcPr>
            <w:tcW w:w="817" w:type="pct"/>
            <w:tcBorders>
              <w:top w:val="nil"/>
              <w:left w:val="nil"/>
              <w:bottom w:val="single" w:sz="4" w:space="0" w:color="auto"/>
              <w:right w:val="single" w:sz="4" w:space="0" w:color="auto"/>
            </w:tcBorders>
            <w:shd w:val="clear" w:color="auto" w:fill="auto"/>
            <w:noWrap/>
            <w:vAlign w:val="center"/>
            <w:hideMark/>
          </w:tcPr>
          <w:p w14:paraId="652D1BFB"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0,659</w:t>
            </w:r>
          </w:p>
        </w:tc>
        <w:tc>
          <w:tcPr>
            <w:tcW w:w="817" w:type="pct"/>
            <w:tcBorders>
              <w:top w:val="nil"/>
              <w:left w:val="nil"/>
              <w:bottom w:val="single" w:sz="4" w:space="0" w:color="auto"/>
              <w:right w:val="single" w:sz="4" w:space="0" w:color="auto"/>
            </w:tcBorders>
            <w:shd w:val="clear" w:color="auto" w:fill="auto"/>
            <w:vAlign w:val="center"/>
            <w:hideMark/>
          </w:tcPr>
          <w:p w14:paraId="0E97633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0,082</w:t>
            </w:r>
          </w:p>
        </w:tc>
        <w:tc>
          <w:tcPr>
            <w:tcW w:w="817" w:type="pct"/>
            <w:tcBorders>
              <w:top w:val="nil"/>
              <w:left w:val="nil"/>
              <w:bottom w:val="single" w:sz="4" w:space="0" w:color="auto"/>
              <w:right w:val="single" w:sz="4" w:space="0" w:color="auto"/>
            </w:tcBorders>
            <w:shd w:val="clear" w:color="auto" w:fill="auto"/>
            <w:noWrap/>
            <w:vAlign w:val="center"/>
            <w:hideMark/>
          </w:tcPr>
          <w:p w14:paraId="60C7336A" w14:textId="77777777" w:rsidR="00113F33" w:rsidRPr="00113F33" w:rsidRDefault="00113F33" w:rsidP="006A0594">
            <w:pPr>
              <w:jc w:val="center"/>
              <w:rPr>
                <w:rFonts w:eastAsia="Times New Roman"/>
                <w:i/>
                <w:iCs/>
                <w:color w:val="000000"/>
                <w:sz w:val="20"/>
                <w:szCs w:val="20"/>
              </w:rPr>
            </w:pPr>
            <w:r w:rsidRPr="00113F33">
              <w:rPr>
                <w:rFonts w:eastAsia="Times New Roman"/>
                <w:i/>
                <w:iCs/>
                <w:color w:val="000000"/>
                <w:sz w:val="20"/>
                <w:szCs w:val="20"/>
              </w:rPr>
              <w:t>0,258</w:t>
            </w:r>
          </w:p>
        </w:tc>
      </w:tr>
      <w:tr w:rsidR="00113F33" w:rsidRPr="00113F33" w14:paraId="1D2A9705"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530A78CC"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Bélgica</w:t>
            </w:r>
          </w:p>
        </w:tc>
        <w:tc>
          <w:tcPr>
            <w:tcW w:w="817" w:type="pct"/>
            <w:tcBorders>
              <w:top w:val="nil"/>
              <w:left w:val="nil"/>
              <w:bottom w:val="single" w:sz="4" w:space="0" w:color="auto"/>
              <w:right w:val="single" w:sz="4" w:space="0" w:color="auto"/>
            </w:tcBorders>
            <w:shd w:val="clear" w:color="auto" w:fill="auto"/>
            <w:noWrap/>
            <w:vAlign w:val="center"/>
            <w:hideMark/>
          </w:tcPr>
          <w:p w14:paraId="53C8FD81"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0,482</w:t>
            </w:r>
          </w:p>
        </w:tc>
        <w:tc>
          <w:tcPr>
            <w:tcW w:w="817" w:type="pct"/>
            <w:tcBorders>
              <w:top w:val="nil"/>
              <w:left w:val="nil"/>
              <w:bottom w:val="single" w:sz="4" w:space="0" w:color="auto"/>
              <w:right w:val="single" w:sz="4" w:space="0" w:color="auto"/>
            </w:tcBorders>
            <w:shd w:val="clear" w:color="auto" w:fill="auto"/>
            <w:noWrap/>
            <w:vAlign w:val="center"/>
            <w:hideMark/>
          </w:tcPr>
          <w:p w14:paraId="60B21E1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-0,43</w:t>
            </w:r>
          </w:p>
        </w:tc>
        <w:tc>
          <w:tcPr>
            <w:tcW w:w="817" w:type="pct"/>
            <w:tcBorders>
              <w:top w:val="nil"/>
              <w:left w:val="nil"/>
              <w:bottom w:val="single" w:sz="4" w:space="0" w:color="auto"/>
              <w:right w:val="single" w:sz="4" w:space="0" w:color="auto"/>
            </w:tcBorders>
            <w:shd w:val="clear" w:color="auto" w:fill="auto"/>
            <w:noWrap/>
            <w:vAlign w:val="center"/>
            <w:hideMark/>
          </w:tcPr>
          <w:p w14:paraId="2C387B1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0,147</w:t>
            </w:r>
          </w:p>
        </w:tc>
        <w:tc>
          <w:tcPr>
            <w:tcW w:w="817" w:type="pct"/>
            <w:tcBorders>
              <w:top w:val="nil"/>
              <w:left w:val="nil"/>
              <w:bottom w:val="single" w:sz="4" w:space="0" w:color="auto"/>
              <w:right w:val="single" w:sz="4" w:space="0" w:color="auto"/>
            </w:tcBorders>
            <w:shd w:val="clear" w:color="auto" w:fill="auto"/>
            <w:vAlign w:val="center"/>
            <w:hideMark/>
          </w:tcPr>
          <w:p w14:paraId="0DD635E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0,041</w:t>
            </w:r>
          </w:p>
        </w:tc>
        <w:tc>
          <w:tcPr>
            <w:tcW w:w="817" w:type="pct"/>
            <w:tcBorders>
              <w:top w:val="nil"/>
              <w:left w:val="nil"/>
              <w:bottom w:val="single" w:sz="4" w:space="0" w:color="auto"/>
              <w:right w:val="single" w:sz="4" w:space="0" w:color="auto"/>
            </w:tcBorders>
            <w:shd w:val="clear" w:color="auto" w:fill="auto"/>
            <w:noWrap/>
            <w:vAlign w:val="center"/>
            <w:hideMark/>
          </w:tcPr>
          <w:p w14:paraId="6DDEF359"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0,812</w:t>
            </w:r>
          </w:p>
        </w:tc>
      </w:tr>
      <w:tr w:rsidR="00113F33" w:rsidRPr="00113F33" w14:paraId="1B84EC9D"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05F04DB2"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Dinamarca</w:t>
            </w:r>
          </w:p>
        </w:tc>
        <w:tc>
          <w:tcPr>
            <w:tcW w:w="817" w:type="pct"/>
            <w:tcBorders>
              <w:top w:val="nil"/>
              <w:left w:val="nil"/>
              <w:bottom w:val="single" w:sz="4" w:space="0" w:color="auto"/>
              <w:right w:val="single" w:sz="4" w:space="0" w:color="auto"/>
            </w:tcBorders>
            <w:shd w:val="clear" w:color="auto" w:fill="auto"/>
            <w:noWrap/>
            <w:vAlign w:val="center"/>
            <w:hideMark/>
          </w:tcPr>
          <w:p w14:paraId="6EE165F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1,201</w:t>
            </w:r>
          </w:p>
        </w:tc>
        <w:tc>
          <w:tcPr>
            <w:tcW w:w="817" w:type="pct"/>
            <w:tcBorders>
              <w:top w:val="nil"/>
              <w:left w:val="nil"/>
              <w:bottom w:val="single" w:sz="4" w:space="0" w:color="auto"/>
              <w:right w:val="single" w:sz="4" w:space="0" w:color="auto"/>
            </w:tcBorders>
            <w:shd w:val="clear" w:color="auto" w:fill="auto"/>
            <w:noWrap/>
            <w:vAlign w:val="center"/>
            <w:hideMark/>
          </w:tcPr>
          <w:p w14:paraId="581115A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0,953</w:t>
            </w:r>
          </w:p>
        </w:tc>
        <w:tc>
          <w:tcPr>
            <w:tcW w:w="817" w:type="pct"/>
            <w:tcBorders>
              <w:top w:val="nil"/>
              <w:left w:val="nil"/>
              <w:bottom w:val="single" w:sz="4" w:space="0" w:color="auto"/>
              <w:right w:val="single" w:sz="4" w:space="0" w:color="auto"/>
            </w:tcBorders>
            <w:shd w:val="clear" w:color="auto" w:fill="auto"/>
            <w:noWrap/>
            <w:vAlign w:val="center"/>
            <w:hideMark/>
          </w:tcPr>
          <w:p w14:paraId="2277D985"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0,976</w:t>
            </w:r>
          </w:p>
        </w:tc>
        <w:tc>
          <w:tcPr>
            <w:tcW w:w="817" w:type="pct"/>
            <w:tcBorders>
              <w:top w:val="nil"/>
              <w:left w:val="nil"/>
              <w:bottom w:val="single" w:sz="4" w:space="0" w:color="auto"/>
              <w:right w:val="single" w:sz="4" w:space="0" w:color="auto"/>
            </w:tcBorders>
            <w:shd w:val="clear" w:color="auto" w:fill="auto"/>
            <w:vAlign w:val="center"/>
            <w:hideMark/>
          </w:tcPr>
          <w:p w14:paraId="6AE08BD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0,008</w:t>
            </w:r>
          </w:p>
        </w:tc>
        <w:tc>
          <w:tcPr>
            <w:tcW w:w="817" w:type="pct"/>
            <w:tcBorders>
              <w:top w:val="nil"/>
              <w:left w:val="nil"/>
              <w:bottom w:val="single" w:sz="4" w:space="0" w:color="auto"/>
              <w:right w:val="single" w:sz="4" w:space="0" w:color="auto"/>
            </w:tcBorders>
            <w:shd w:val="clear" w:color="auto" w:fill="auto"/>
            <w:noWrap/>
            <w:vAlign w:val="center"/>
            <w:hideMark/>
          </w:tcPr>
          <w:p w14:paraId="4361D714"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0,016</w:t>
            </w:r>
          </w:p>
        </w:tc>
      </w:tr>
      <w:tr w:rsidR="00113F33" w:rsidRPr="00113F33" w14:paraId="1FD3665A"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55760E69"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España</w:t>
            </w:r>
          </w:p>
        </w:tc>
        <w:tc>
          <w:tcPr>
            <w:tcW w:w="817" w:type="pct"/>
            <w:tcBorders>
              <w:top w:val="nil"/>
              <w:left w:val="nil"/>
              <w:bottom w:val="single" w:sz="4" w:space="0" w:color="auto"/>
              <w:right w:val="single" w:sz="4" w:space="0" w:color="auto"/>
            </w:tcBorders>
            <w:shd w:val="clear" w:color="auto" w:fill="auto"/>
            <w:noWrap/>
            <w:vAlign w:val="center"/>
            <w:hideMark/>
          </w:tcPr>
          <w:p w14:paraId="2D13C80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-0,939</w:t>
            </w:r>
          </w:p>
        </w:tc>
        <w:tc>
          <w:tcPr>
            <w:tcW w:w="817" w:type="pct"/>
            <w:tcBorders>
              <w:top w:val="nil"/>
              <w:left w:val="nil"/>
              <w:bottom w:val="single" w:sz="4" w:space="0" w:color="auto"/>
              <w:right w:val="single" w:sz="4" w:space="0" w:color="auto"/>
            </w:tcBorders>
            <w:shd w:val="clear" w:color="auto" w:fill="auto"/>
            <w:noWrap/>
            <w:vAlign w:val="center"/>
            <w:hideMark/>
          </w:tcPr>
          <w:p w14:paraId="6AECC3D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-0,287</w:t>
            </w:r>
          </w:p>
        </w:tc>
        <w:tc>
          <w:tcPr>
            <w:tcW w:w="817" w:type="pct"/>
            <w:tcBorders>
              <w:top w:val="nil"/>
              <w:left w:val="nil"/>
              <w:bottom w:val="single" w:sz="4" w:space="0" w:color="auto"/>
              <w:right w:val="single" w:sz="4" w:space="0" w:color="auto"/>
            </w:tcBorders>
            <w:shd w:val="clear" w:color="auto" w:fill="auto"/>
            <w:noWrap/>
            <w:vAlign w:val="center"/>
            <w:hideMark/>
          </w:tcPr>
          <w:p w14:paraId="182254D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0,128</w:t>
            </w:r>
          </w:p>
        </w:tc>
        <w:tc>
          <w:tcPr>
            <w:tcW w:w="817" w:type="pct"/>
            <w:tcBorders>
              <w:top w:val="nil"/>
              <w:left w:val="nil"/>
              <w:bottom w:val="single" w:sz="4" w:space="0" w:color="auto"/>
              <w:right w:val="single" w:sz="4" w:space="0" w:color="auto"/>
            </w:tcBorders>
            <w:shd w:val="clear" w:color="auto" w:fill="auto"/>
            <w:vAlign w:val="center"/>
            <w:hideMark/>
          </w:tcPr>
          <w:p w14:paraId="781DA36E" w14:textId="77777777" w:rsidR="00113F33" w:rsidRPr="00113F33" w:rsidRDefault="00113F33" w:rsidP="006A0594">
            <w:pPr>
              <w:jc w:val="center"/>
              <w:rPr>
                <w:rFonts w:eastAsia="Times New Roman"/>
                <w:i/>
                <w:iCs/>
                <w:color w:val="000000"/>
                <w:sz w:val="20"/>
                <w:szCs w:val="20"/>
              </w:rPr>
            </w:pPr>
            <w:r w:rsidRPr="00113F33">
              <w:rPr>
                <w:rFonts w:eastAsia="Times New Roman"/>
                <w:i/>
                <w:iCs/>
                <w:color w:val="000000"/>
                <w:sz w:val="20"/>
                <w:szCs w:val="20"/>
              </w:rPr>
              <w:t>0,286</w:t>
            </w:r>
          </w:p>
        </w:tc>
        <w:tc>
          <w:tcPr>
            <w:tcW w:w="817" w:type="pct"/>
            <w:tcBorders>
              <w:top w:val="nil"/>
              <w:left w:val="nil"/>
              <w:bottom w:val="single" w:sz="4" w:space="0" w:color="auto"/>
              <w:right w:val="single" w:sz="4" w:space="0" w:color="auto"/>
            </w:tcBorders>
            <w:shd w:val="clear" w:color="auto" w:fill="auto"/>
            <w:noWrap/>
            <w:vAlign w:val="center"/>
            <w:hideMark/>
          </w:tcPr>
          <w:p w14:paraId="24139F4F"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0,585</w:t>
            </w:r>
          </w:p>
        </w:tc>
      </w:tr>
      <w:tr w:rsidR="00113F33" w:rsidRPr="00113F33" w14:paraId="7B295B42"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0C0A5D92"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Finlandia</w:t>
            </w:r>
          </w:p>
        </w:tc>
        <w:tc>
          <w:tcPr>
            <w:tcW w:w="817" w:type="pct"/>
            <w:tcBorders>
              <w:top w:val="nil"/>
              <w:left w:val="nil"/>
              <w:bottom w:val="single" w:sz="4" w:space="0" w:color="auto"/>
              <w:right w:val="single" w:sz="4" w:space="0" w:color="auto"/>
            </w:tcBorders>
            <w:shd w:val="clear" w:color="auto" w:fill="auto"/>
            <w:noWrap/>
            <w:vAlign w:val="center"/>
            <w:hideMark/>
          </w:tcPr>
          <w:p w14:paraId="04B4597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0,707</w:t>
            </w:r>
          </w:p>
        </w:tc>
        <w:tc>
          <w:tcPr>
            <w:tcW w:w="817" w:type="pct"/>
            <w:tcBorders>
              <w:top w:val="nil"/>
              <w:left w:val="nil"/>
              <w:bottom w:val="single" w:sz="4" w:space="0" w:color="auto"/>
              <w:right w:val="single" w:sz="4" w:space="0" w:color="auto"/>
            </w:tcBorders>
            <w:shd w:val="clear" w:color="auto" w:fill="auto"/>
            <w:noWrap/>
            <w:vAlign w:val="center"/>
            <w:hideMark/>
          </w:tcPr>
          <w:p w14:paraId="15D9299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1,006</w:t>
            </w:r>
          </w:p>
        </w:tc>
        <w:tc>
          <w:tcPr>
            <w:tcW w:w="817" w:type="pct"/>
            <w:tcBorders>
              <w:top w:val="nil"/>
              <w:left w:val="nil"/>
              <w:bottom w:val="single" w:sz="4" w:space="0" w:color="auto"/>
              <w:right w:val="single" w:sz="4" w:space="0" w:color="auto"/>
            </w:tcBorders>
            <w:shd w:val="clear" w:color="auto" w:fill="auto"/>
            <w:noWrap/>
            <w:vAlign w:val="center"/>
            <w:hideMark/>
          </w:tcPr>
          <w:p w14:paraId="471E176B"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0,973</w:t>
            </w:r>
          </w:p>
        </w:tc>
        <w:tc>
          <w:tcPr>
            <w:tcW w:w="817" w:type="pct"/>
            <w:tcBorders>
              <w:top w:val="nil"/>
              <w:left w:val="nil"/>
              <w:bottom w:val="single" w:sz="4" w:space="0" w:color="auto"/>
              <w:right w:val="single" w:sz="4" w:space="0" w:color="auto"/>
            </w:tcBorders>
            <w:shd w:val="clear" w:color="auto" w:fill="auto"/>
            <w:vAlign w:val="center"/>
            <w:hideMark/>
          </w:tcPr>
          <w:p w14:paraId="6875443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w:t>
            </w:r>
          </w:p>
        </w:tc>
        <w:tc>
          <w:tcPr>
            <w:tcW w:w="817" w:type="pct"/>
            <w:tcBorders>
              <w:top w:val="nil"/>
              <w:left w:val="nil"/>
              <w:bottom w:val="single" w:sz="4" w:space="0" w:color="auto"/>
              <w:right w:val="single" w:sz="4" w:space="0" w:color="auto"/>
            </w:tcBorders>
            <w:shd w:val="clear" w:color="auto" w:fill="auto"/>
            <w:noWrap/>
            <w:vAlign w:val="center"/>
            <w:hideMark/>
          </w:tcPr>
          <w:p w14:paraId="75C7558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0,017</w:t>
            </w:r>
          </w:p>
        </w:tc>
      </w:tr>
      <w:tr w:rsidR="00113F33" w:rsidRPr="00113F33" w14:paraId="31A2B825"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7C9EE1CB"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Francia</w:t>
            </w:r>
          </w:p>
        </w:tc>
        <w:tc>
          <w:tcPr>
            <w:tcW w:w="817" w:type="pct"/>
            <w:tcBorders>
              <w:top w:val="nil"/>
              <w:left w:val="nil"/>
              <w:bottom w:val="single" w:sz="4" w:space="0" w:color="auto"/>
              <w:right w:val="single" w:sz="4" w:space="0" w:color="auto"/>
            </w:tcBorders>
            <w:shd w:val="clear" w:color="auto" w:fill="auto"/>
            <w:noWrap/>
            <w:vAlign w:val="center"/>
            <w:hideMark/>
          </w:tcPr>
          <w:p w14:paraId="76491B7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1,598</w:t>
            </w:r>
          </w:p>
        </w:tc>
        <w:tc>
          <w:tcPr>
            <w:tcW w:w="817" w:type="pct"/>
            <w:tcBorders>
              <w:top w:val="nil"/>
              <w:left w:val="nil"/>
              <w:bottom w:val="single" w:sz="4" w:space="0" w:color="auto"/>
              <w:right w:val="single" w:sz="4" w:space="0" w:color="auto"/>
            </w:tcBorders>
            <w:shd w:val="clear" w:color="auto" w:fill="auto"/>
            <w:noWrap/>
            <w:vAlign w:val="center"/>
            <w:hideMark/>
          </w:tcPr>
          <w:p w14:paraId="6DAF5B4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1,006</w:t>
            </w:r>
          </w:p>
        </w:tc>
        <w:tc>
          <w:tcPr>
            <w:tcW w:w="817" w:type="pct"/>
            <w:tcBorders>
              <w:top w:val="nil"/>
              <w:left w:val="nil"/>
              <w:bottom w:val="single" w:sz="4" w:space="0" w:color="auto"/>
              <w:right w:val="single" w:sz="4" w:space="0" w:color="auto"/>
            </w:tcBorders>
            <w:shd w:val="clear" w:color="auto" w:fill="auto"/>
            <w:noWrap/>
            <w:vAlign w:val="center"/>
            <w:hideMark/>
          </w:tcPr>
          <w:p w14:paraId="7B4E864A"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0,895</w:t>
            </w:r>
          </w:p>
        </w:tc>
        <w:tc>
          <w:tcPr>
            <w:tcW w:w="817" w:type="pct"/>
            <w:tcBorders>
              <w:top w:val="nil"/>
              <w:left w:val="nil"/>
              <w:bottom w:val="single" w:sz="4" w:space="0" w:color="auto"/>
              <w:right w:val="single" w:sz="4" w:space="0" w:color="auto"/>
            </w:tcBorders>
            <w:shd w:val="clear" w:color="auto" w:fill="auto"/>
            <w:vAlign w:val="center"/>
            <w:hideMark/>
          </w:tcPr>
          <w:p w14:paraId="0E82C5B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0,035</w:t>
            </w:r>
          </w:p>
        </w:tc>
        <w:tc>
          <w:tcPr>
            <w:tcW w:w="817" w:type="pct"/>
            <w:tcBorders>
              <w:top w:val="nil"/>
              <w:left w:val="nil"/>
              <w:bottom w:val="single" w:sz="4" w:space="0" w:color="auto"/>
              <w:right w:val="single" w:sz="4" w:space="0" w:color="auto"/>
            </w:tcBorders>
            <w:shd w:val="clear" w:color="auto" w:fill="auto"/>
            <w:noWrap/>
            <w:vAlign w:val="center"/>
            <w:hideMark/>
          </w:tcPr>
          <w:p w14:paraId="49E6ADB4"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0,07</w:t>
            </w:r>
          </w:p>
        </w:tc>
      </w:tr>
      <w:tr w:rsidR="00113F33" w:rsidRPr="00113F33" w14:paraId="4EAAEA05"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4A7F308B"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Grecia</w:t>
            </w:r>
          </w:p>
        </w:tc>
        <w:tc>
          <w:tcPr>
            <w:tcW w:w="817" w:type="pct"/>
            <w:tcBorders>
              <w:top w:val="nil"/>
              <w:left w:val="nil"/>
              <w:bottom w:val="single" w:sz="4" w:space="0" w:color="auto"/>
              <w:right w:val="single" w:sz="4" w:space="0" w:color="auto"/>
            </w:tcBorders>
            <w:shd w:val="clear" w:color="auto" w:fill="auto"/>
            <w:noWrap/>
            <w:vAlign w:val="center"/>
            <w:hideMark/>
          </w:tcPr>
          <w:p w14:paraId="0C761AD1"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-0,488</w:t>
            </w:r>
          </w:p>
        </w:tc>
        <w:tc>
          <w:tcPr>
            <w:tcW w:w="817" w:type="pct"/>
            <w:tcBorders>
              <w:top w:val="nil"/>
              <w:left w:val="nil"/>
              <w:bottom w:val="single" w:sz="4" w:space="0" w:color="auto"/>
              <w:right w:val="single" w:sz="4" w:space="0" w:color="auto"/>
            </w:tcBorders>
            <w:shd w:val="clear" w:color="auto" w:fill="auto"/>
            <w:noWrap/>
            <w:vAlign w:val="center"/>
            <w:hideMark/>
          </w:tcPr>
          <w:p w14:paraId="29EF80F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-2,101</w:t>
            </w:r>
          </w:p>
        </w:tc>
        <w:tc>
          <w:tcPr>
            <w:tcW w:w="817" w:type="pct"/>
            <w:tcBorders>
              <w:top w:val="nil"/>
              <w:left w:val="nil"/>
              <w:bottom w:val="single" w:sz="4" w:space="0" w:color="auto"/>
              <w:right w:val="single" w:sz="4" w:space="0" w:color="auto"/>
            </w:tcBorders>
            <w:shd w:val="clear" w:color="auto" w:fill="auto"/>
            <w:noWrap/>
            <w:vAlign w:val="center"/>
            <w:hideMark/>
          </w:tcPr>
          <w:p w14:paraId="64346B8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0,134</w:t>
            </w:r>
          </w:p>
        </w:tc>
        <w:tc>
          <w:tcPr>
            <w:tcW w:w="817" w:type="pct"/>
            <w:tcBorders>
              <w:top w:val="nil"/>
              <w:left w:val="nil"/>
              <w:bottom w:val="single" w:sz="4" w:space="0" w:color="auto"/>
              <w:right w:val="single" w:sz="4" w:space="0" w:color="auto"/>
            </w:tcBorders>
            <w:shd w:val="clear" w:color="auto" w:fill="auto"/>
            <w:vAlign w:val="center"/>
            <w:hideMark/>
          </w:tcPr>
          <w:p w14:paraId="4A0E49C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0,136</w:t>
            </w:r>
          </w:p>
        </w:tc>
        <w:tc>
          <w:tcPr>
            <w:tcW w:w="817" w:type="pct"/>
            <w:tcBorders>
              <w:top w:val="nil"/>
              <w:left w:val="nil"/>
              <w:bottom w:val="single" w:sz="4" w:space="0" w:color="auto"/>
              <w:right w:val="single" w:sz="4" w:space="0" w:color="auto"/>
            </w:tcBorders>
            <w:shd w:val="clear" w:color="auto" w:fill="auto"/>
            <w:noWrap/>
            <w:vAlign w:val="center"/>
            <w:hideMark/>
          </w:tcPr>
          <w:p w14:paraId="21302291"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0,731</w:t>
            </w:r>
          </w:p>
        </w:tc>
      </w:tr>
      <w:tr w:rsidR="00113F33" w:rsidRPr="00113F33" w14:paraId="4A2A5CBD"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0DE09763"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Holanda</w:t>
            </w:r>
          </w:p>
        </w:tc>
        <w:tc>
          <w:tcPr>
            <w:tcW w:w="817" w:type="pct"/>
            <w:tcBorders>
              <w:top w:val="nil"/>
              <w:left w:val="nil"/>
              <w:bottom w:val="single" w:sz="4" w:space="0" w:color="auto"/>
              <w:right w:val="single" w:sz="4" w:space="0" w:color="auto"/>
            </w:tcBorders>
            <w:shd w:val="clear" w:color="auto" w:fill="auto"/>
            <w:noWrap/>
            <w:vAlign w:val="center"/>
            <w:hideMark/>
          </w:tcPr>
          <w:p w14:paraId="7C1C751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6AC4380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1,006</w:t>
            </w:r>
          </w:p>
        </w:tc>
        <w:tc>
          <w:tcPr>
            <w:tcW w:w="817" w:type="pct"/>
            <w:tcBorders>
              <w:top w:val="nil"/>
              <w:left w:val="nil"/>
              <w:bottom w:val="single" w:sz="4" w:space="0" w:color="auto"/>
              <w:right w:val="single" w:sz="4" w:space="0" w:color="auto"/>
            </w:tcBorders>
            <w:shd w:val="clear" w:color="auto" w:fill="auto"/>
            <w:noWrap/>
            <w:vAlign w:val="center"/>
            <w:hideMark/>
          </w:tcPr>
          <w:p w14:paraId="04A5AA54"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0,972</w:t>
            </w:r>
          </w:p>
        </w:tc>
        <w:tc>
          <w:tcPr>
            <w:tcW w:w="817" w:type="pct"/>
            <w:tcBorders>
              <w:top w:val="nil"/>
              <w:left w:val="nil"/>
              <w:bottom w:val="single" w:sz="4" w:space="0" w:color="auto"/>
              <w:right w:val="single" w:sz="4" w:space="0" w:color="auto"/>
            </w:tcBorders>
            <w:shd w:val="clear" w:color="auto" w:fill="auto"/>
            <w:vAlign w:val="center"/>
            <w:hideMark/>
          </w:tcPr>
          <w:p w14:paraId="628406E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w:t>
            </w:r>
          </w:p>
        </w:tc>
        <w:tc>
          <w:tcPr>
            <w:tcW w:w="817" w:type="pct"/>
            <w:tcBorders>
              <w:top w:val="nil"/>
              <w:left w:val="nil"/>
              <w:bottom w:val="single" w:sz="4" w:space="0" w:color="auto"/>
              <w:right w:val="single" w:sz="4" w:space="0" w:color="auto"/>
            </w:tcBorders>
            <w:shd w:val="clear" w:color="auto" w:fill="auto"/>
            <w:noWrap/>
            <w:vAlign w:val="center"/>
            <w:hideMark/>
          </w:tcPr>
          <w:p w14:paraId="7E0969B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0,018</w:t>
            </w:r>
          </w:p>
        </w:tc>
      </w:tr>
      <w:tr w:rsidR="00113F33" w:rsidRPr="00113F33" w14:paraId="34D36F87"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563499D9"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Irlanda</w:t>
            </w:r>
          </w:p>
        </w:tc>
        <w:tc>
          <w:tcPr>
            <w:tcW w:w="817" w:type="pct"/>
            <w:tcBorders>
              <w:top w:val="nil"/>
              <w:left w:val="nil"/>
              <w:bottom w:val="single" w:sz="4" w:space="0" w:color="auto"/>
              <w:right w:val="single" w:sz="4" w:space="0" w:color="auto"/>
            </w:tcBorders>
            <w:shd w:val="clear" w:color="auto" w:fill="auto"/>
            <w:noWrap/>
            <w:vAlign w:val="center"/>
            <w:hideMark/>
          </w:tcPr>
          <w:p w14:paraId="3AFEF5D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-1,921</w:t>
            </w:r>
          </w:p>
        </w:tc>
        <w:tc>
          <w:tcPr>
            <w:tcW w:w="817" w:type="pct"/>
            <w:tcBorders>
              <w:top w:val="nil"/>
              <w:left w:val="nil"/>
              <w:bottom w:val="single" w:sz="4" w:space="0" w:color="auto"/>
              <w:right w:val="single" w:sz="4" w:space="0" w:color="auto"/>
            </w:tcBorders>
            <w:shd w:val="clear" w:color="auto" w:fill="auto"/>
            <w:noWrap/>
            <w:vAlign w:val="center"/>
            <w:hideMark/>
          </w:tcPr>
          <w:p w14:paraId="622A3B6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1,006</w:t>
            </w:r>
          </w:p>
        </w:tc>
        <w:tc>
          <w:tcPr>
            <w:tcW w:w="817" w:type="pct"/>
            <w:tcBorders>
              <w:top w:val="nil"/>
              <w:left w:val="nil"/>
              <w:bottom w:val="single" w:sz="4" w:space="0" w:color="auto"/>
              <w:right w:val="single" w:sz="4" w:space="0" w:color="auto"/>
            </w:tcBorders>
            <w:shd w:val="clear" w:color="auto" w:fill="auto"/>
            <w:noWrap/>
            <w:vAlign w:val="center"/>
            <w:hideMark/>
          </w:tcPr>
          <w:p w14:paraId="0935D9C1"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0,002</w:t>
            </w:r>
          </w:p>
        </w:tc>
        <w:tc>
          <w:tcPr>
            <w:tcW w:w="817" w:type="pct"/>
            <w:tcBorders>
              <w:top w:val="nil"/>
              <w:left w:val="nil"/>
              <w:bottom w:val="single" w:sz="4" w:space="0" w:color="auto"/>
              <w:right w:val="single" w:sz="4" w:space="0" w:color="auto"/>
            </w:tcBorders>
            <w:shd w:val="clear" w:color="auto" w:fill="auto"/>
            <w:vAlign w:val="center"/>
            <w:hideMark/>
          </w:tcPr>
          <w:p w14:paraId="71EF73D6"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0,994</w:t>
            </w:r>
          </w:p>
        </w:tc>
        <w:tc>
          <w:tcPr>
            <w:tcW w:w="817" w:type="pct"/>
            <w:tcBorders>
              <w:top w:val="nil"/>
              <w:left w:val="nil"/>
              <w:bottom w:val="single" w:sz="4" w:space="0" w:color="auto"/>
              <w:right w:val="single" w:sz="4" w:space="0" w:color="auto"/>
            </w:tcBorders>
            <w:shd w:val="clear" w:color="auto" w:fill="auto"/>
            <w:noWrap/>
            <w:vAlign w:val="center"/>
            <w:hideMark/>
          </w:tcPr>
          <w:p w14:paraId="0A3BD7D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0,003</w:t>
            </w:r>
          </w:p>
        </w:tc>
      </w:tr>
      <w:tr w:rsidR="00113F33" w:rsidRPr="00113F33" w14:paraId="17B4376B"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2E6A5886"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Italia</w:t>
            </w:r>
          </w:p>
        </w:tc>
        <w:tc>
          <w:tcPr>
            <w:tcW w:w="817" w:type="pct"/>
            <w:tcBorders>
              <w:top w:val="nil"/>
              <w:left w:val="nil"/>
              <w:bottom w:val="single" w:sz="4" w:space="0" w:color="auto"/>
              <w:right w:val="single" w:sz="4" w:space="0" w:color="auto"/>
            </w:tcBorders>
            <w:shd w:val="clear" w:color="auto" w:fill="auto"/>
            <w:noWrap/>
            <w:vAlign w:val="center"/>
            <w:hideMark/>
          </w:tcPr>
          <w:p w14:paraId="40D2D54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0,329</w:t>
            </w:r>
          </w:p>
        </w:tc>
        <w:tc>
          <w:tcPr>
            <w:tcW w:w="817" w:type="pct"/>
            <w:tcBorders>
              <w:top w:val="nil"/>
              <w:left w:val="nil"/>
              <w:bottom w:val="single" w:sz="4" w:space="0" w:color="auto"/>
              <w:right w:val="single" w:sz="4" w:space="0" w:color="auto"/>
            </w:tcBorders>
            <w:shd w:val="clear" w:color="auto" w:fill="auto"/>
            <w:noWrap/>
            <w:vAlign w:val="center"/>
            <w:hideMark/>
          </w:tcPr>
          <w:p w14:paraId="734D2BB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-1,337</w:t>
            </w:r>
          </w:p>
        </w:tc>
        <w:tc>
          <w:tcPr>
            <w:tcW w:w="817" w:type="pct"/>
            <w:tcBorders>
              <w:top w:val="nil"/>
              <w:left w:val="nil"/>
              <w:bottom w:val="single" w:sz="4" w:space="0" w:color="auto"/>
              <w:right w:val="single" w:sz="4" w:space="0" w:color="auto"/>
            </w:tcBorders>
            <w:shd w:val="clear" w:color="auto" w:fill="auto"/>
            <w:noWrap/>
            <w:vAlign w:val="center"/>
            <w:hideMark/>
          </w:tcPr>
          <w:p w14:paraId="7293997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0,074</w:t>
            </w:r>
          </w:p>
        </w:tc>
        <w:tc>
          <w:tcPr>
            <w:tcW w:w="817" w:type="pct"/>
            <w:tcBorders>
              <w:top w:val="nil"/>
              <w:left w:val="nil"/>
              <w:bottom w:val="single" w:sz="4" w:space="0" w:color="auto"/>
              <w:right w:val="single" w:sz="4" w:space="0" w:color="auto"/>
            </w:tcBorders>
            <w:shd w:val="clear" w:color="auto" w:fill="auto"/>
            <w:vAlign w:val="center"/>
            <w:hideMark/>
          </w:tcPr>
          <w:p w14:paraId="237295A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0,041</w:t>
            </w:r>
          </w:p>
        </w:tc>
        <w:tc>
          <w:tcPr>
            <w:tcW w:w="817" w:type="pct"/>
            <w:tcBorders>
              <w:top w:val="nil"/>
              <w:left w:val="nil"/>
              <w:bottom w:val="single" w:sz="4" w:space="0" w:color="auto"/>
              <w:right w:val="single" w:sz="4" w:space="0" w:color="auto"/>
            </w:tcBorders>
            <w:shd w:val="clear" w:color="auto" w:fill="auto"/>
            <w:noWrap/>
            <w:vAlign w:val="center"/>
            <w:hideMark/>
          </w:tcPr>
          <w:p w14:paraId="7DE3655A"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0,885</w:t>
            </w:r>
          </w:p>
        </w:tc>
      </w:tr>
      <w:tr w:rsidR="00113F33" w:rsidRPr="00113F33" w14:paraId="6F13E38D"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77BEB1F3"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Luxemburgo</w:t>
            </w:r>
          </w:p>
        </w:tc>
        <w:tc>
          <w:tcPr>
            <w:tcW w:w="817" w:type="pct"/>
            <w:tcBorders>
              <w:top w:val="nil"/>
              <w:left w:val="nil"/>
              <w:bottom w:val="single" w:sz="4" w:space="0" w:color="auto"/>
              <w:right w:val="single" w:sz="4" w:space="0" w:color="auto"/>
            </w:tcBorders>
            <w:shd w:val="clear" w:color="auto" w:fill="auto"/>
            <w:noWrap/>
            <w:vAlign w:val="center"/>
            <w:hideMark/>
          </w:tcPr>
          <w:p w14:paraId="69BDAC5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-1,824</w:t>
            </w:r>
          </w:p>
        </w:tc>
        <w:tc>
          <w:tcPr>
            <w:tcW w:w="817" w:type="pct"/>
            <w:tcBorders>
              <w:top w:val="nil"/>
              <w:left w:val="nil"/>
              <w:bottom w:val="single" w:sz="4" w:space="0" w:color="auto"/>
              <w:right w:val="single" w:sz="4" w:space="0" w:color="auto"/>
            </w:tcBorders>
            <w:shd w:val="clear" w:color="auto" w:fill="auto"/>
            <w:noWrap/>
            <w:vAlign w:val="center"/>
            <w:hideMark/>
          </w:tcPr>
          <w:p w14:paraId="2C886EC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1,006</w:t>
            </w:r>
          </w:p>
        </w:tc>
        <w:tc>
          <w:tcPr>
            <w:tcW w:w="817" w:type="pct"/>
            <w:tcBorders>
              <w:top w:val="nil"/>
              <w:left w:val="nil"/>
              <w:bottom w:val="single" w:sz="4" w:space="0" w:color="auto"/>
              <w:right w:val="single" w:sz="4" w:space="0" w:color="auto"/>
            </w:tcBorders>
            <w:shd w:val="clear" w:color="auto" w:fill="auto"/>
            <w:noWrap/>
            <w:vAlign w:val="center"/>
            <w:hideMark/>
          </w:tcPr>
          <w:p w14:paraId="090E897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0,001</w:t>
            </w:r>
          </w:p>
        </w:tc>
        <w:tc>
          <w:tcPr>
            <w:tcW w:w="817" w:type="pct"/>
            <w:tcBorders>
              <w:top w:val="nil"/>
              <w:left w:val="nil"/>
              <w:bottom w:val="single" w:sz="4" w:space="0" w:color="auto"/>
              <w:right w:val="single" w:sz="4" w:space="0" w:color="auto"/>
            </w:tcBorders>
            <w:shd w:val="clear" w:color="auto" w:fill="auto"/>
            <w:vAlign w:val="center"/>
            <w:hideMark/>
          </w:tcPr>
          <w:p w14:paraId="0DBD0E93"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0,998</w:t>
            </w:r>
          </w:p>
        </w:tc>
        <w:tc>
          <w:tcPr>
            <w:tcW w:w="817" w:type="pct"/>
            <w:tcBorders>
              <w:top w:val="nil"/>
              <w:left w:val="nil"/>
              <w:bottom w:val="single" w:sz="4" w:space="0" w:color="auto"/>
              <w:right w:val="single" w:sz="4" w:space="0" w:color="auto"/>
            </w:tcBorders>
            <w:shd w:val="clear" w:color="auto" w:fill="auto"/>
            <w:noWrap/>
            <w:vAlign w:val="center"/>
            <w:hideMark/>
          </w:tcPr>
          <w:p w14:paraId="28E4DD8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0,001</w:t>
            </w:r>
          </w:p>
        </w:tc>
      </w:tr>
      <w:tr w:rsidR="00113F33" w:rsidRPr="00113F33" w14:paraId="39893393"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690D920E"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Portugal</w:t>
            </w:r>
          </w:p>
        </w:tc>
        <w:tc>
          <w:tcPr>
            <w:tcW w:w="817" w:type="pct"/>
            <w:tcBorders>
              <w:top w:val="nil"/>
              <w:left w:val="nil"/>
              <w:bottom w:val="single" w:sz="4" w:space="0" w:color="auto"/>
              <w:right w:val="single" w:sz="4" w:space="0" w:color="auto"/>
            </w:tcBorders>
            <w:shd w:val="clear" w:color="auto" w:fill="auto"/>
            <w:noWrap/>
            <w:vAlign w:val="center"/>
            <w:hideMark/>
          </w:tcPr>
          <w:p w14:paraId="48A90A6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-0,585</w:t>
            </w:r>
          </w:p>
        </w:tc>
        <w:tc>
          <w:tcPr>
            <w:tcW w:w="817" w:type="pct"/>
            <w:tcBorders>
              <w:top w:val="nil"/>
              <w:left w:val="nil"/>
              <w:bottom w:val="single" w:sz="4" w:space="0" w:color="auto"/>
              <w:right w:val="single" w:sz="4" w:space="0" w:color="auto"/>
            </w:tcBorders>
            <w:shd w:val="clear" w:color="auto" w:fill="auto"/>
            <w:noWrap/>
            <w:vAlign w:val="center"/>
            <w:hideMark/>
          </w:tcPr>
          <w:p w14:paraId="18014A7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-0,842</w:t>
            </w:r>
          </w:p>
        </w:tc>
        <w:tc>
          <w:tcPr>
            <w:tcW w:w="817" w:type="pct"/>
            <w:tcBorders>
              <w:top w:val="nil"/>
              <w:left w:val="nil"/>
              <w:bottom w:val="single" w:sz="4" w:space="0" w:color="auto"/>
              <w:right w:val="single" w:sz="4" w:space="0" w:color="auto"/>
            </w:tcBorders>
            <w:shd w:val="clear" w:color="auto" w:fill="auto"/>
            <w:noWrap/>
            <w:vAlign w:val="center"/>
            <w:hideMark/>
          </w:tcPr>
          <w:p w14:paraId="0493904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0,055</w:t>
            </w:r>
          </w:p>
        </w:tc>
        <w:tc>
          <w:tcPr>
            <w:tcW w:w="817" w:type="pct"/>
            <w:tcBorders>
              <w:top w:val="nil"/>
              <w:left w:val="nil"/>
              <w:bottom w:val="single" w:sz="4" w:space="0" w:color="auto"/>
              <w:right w:val="single" w:sz="4" w:space="0" w:color="auto"/>
            </w:tcBorders>
            <w:shd w:val="clear" w:color="auto" w:fill="auto"/>
            <w:vAlign w:val="center"/>
            <w:hideMark/>
          </w:tcPr>
          <w:p w14:paraId="2C12B8B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0,064</w:t>
            </w:r>
          </w:p>
        </w:tc>
        <w:tc>
          <w:tcPr>
            <w:tcW w:w="817" w:type="pct"/>
            <w:tcBorders>
              <w:top w:val="nil"/>
              <w:left w:val="nil"/>
              <w:bottom w:val="single" w:sz="4" w:space="0" w:color="auto"/>
              <w:right w:val="single" w:sz="4" w:space="0" w:color="auto"/>
            </w:tcBorders>
            <w:shd w:val="clear" w:color="auto" w:fill="auto"/>
            <w:noWrap/>
            <w:vAlign w:val="center"/>
            <w:hideMark/>
          </w:tcPr>
          <w:p w14:paraId="6545959A"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0,882</w:t>
            </w:r>
          </w:p>
        </w:tc>
      </w:tr>
      <w:tr w:rsidR="00113F33" w:rsidRPr="00113F33" w14:paraId="46DBE7EB"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5F8C6731"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Reino Unido</w:t>
            </w:r>
          </w:p>
        </w:tc>
        <w:tc>
          <w:tcPr>
            <w:tcW w:w="817" w:type="pct"/>
            <w:tcBorders>
              <w:top w:val="nil"/>
              <w:left w:val="nil"/>
              <w:bottom w:val="single" w:sz="4" w:space="0" w:color="auto"/>
              <w:right w:val="single" w:sz="4" w:space="0" w:color="auto"/>
            </w:tcBorders>
            <w:shd w:val="clear" w:color="auto" w:fill="auto"/>
            <w:noWrap/>
            <w:vAlign w:val="center"/>
            <w:hideMark/>
          </w:tcPr>
          <w:p w14:paraId="285FA60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0,012</w:t>
            </w:r>
          </w:p>
        </w:tc>
        <w:tc>
          <w:tcPr>
            <w:tcW w:w="817" w:type="pct"/>
            <w:tcBorders>
              <w:top w:val="nil"/>
              <w:left w:val="nil"/>
              <w:bottom w:val="single" w:sz="4" w:space="0" w:color="auto"/>
              <w:right w:val="single" w:sz="4" w:space="0" w:color="auto"/>
            </w:tcBorders>
            <w:shd w:val="clear" w:color="auto" w:fill="auto"/>
            <w:noWrap/>
            <w:vAlign w:val="center"/>
            <w:hideMark/>
          </w:tcPr>
          <w:p w14:paraId="7870611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-0,496</w:t>
            </w:r>
          </w:p>
        </w:tc>
        <w:tc>
          <w:tcPr>
            <w:tcW w:w="817" w:type="pct"/>
            <w:tcBorders>
              <w:top w:val="nil"/>
              <w:left w:val="nil"/>
              <w:bottom w:val="single" w:sz="4" w:space="0" w:color="auto"/>
              <w:right w:val="single" w:sz="4" w:space="0" w:color="auto"/>
            </w:tcBorders>
            <w:shd w:val="clear" w:color="auto" w:fill="auto"/>
            <w:noWrap/>
            <w:vAlign w:val="center"/>
            <w:hideMark/>
          </w:tcPr>
          <w:p w14:paraId="0A4951F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0,025</w:t>
            </w:r>
          </w:p>
        </w:tc>
        <w:tc>
          <w:tcPr>
            <w:tcW w:w="817" w:type="pct"/>
            <w:tcBorders>
              <w:top w:val="nil"/>
              <w:left w:val="nil"/>
              <w:bottom w:val="single" w:sz="4" w:space="0" w:color="auto"/>
              <w:right w:val="single" w:sz="4" w:space="0" w:color="auto"/>
            </w:tcBorders>
            <w:shd w:val="clear" w:color="auto" w:fill="auto"/>
            <w:vAlign w:val="center"/>
            <w:hideMark/>
          </w:tcPr>
          <w:p w14:paraId="39DA944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0,013</w:t>
            </w:r>
          </w:p>
        </w:tc>
        <w:tc>
          <w:tcPr>
            <w:tcW w:w="817" w:type="pct"/>
            <w:tcBorders>
              <w:top w:val="nil"/>
              <w:left w:val="nil"/>
              <w:bottom w:val="single" w:sz="4" w:space="0" w:color="auto"/>
              <w:right w:val="single" w:sz="4" w:space="0" w:color="auto"/>
            </w:tcBorders>
            <w:shd w:val="clear" w:color="auto" w:fill="auto"/>
            <w:noWrap/>
            <w:vAlign w:val="center"/>
            <w:hideMark/>
          </w:tcPr>
          <w:p w14:paraId="11781575"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0,962</w:t>
            </w:r>
          </w:p>
        </w:tc>
      </w:tr>
      <w:tr w:rsidR="00113F33" w:rsidRPr="00113F33" w14:paraId="0C888958" w14:textId="77777777" w:rsidTr="006A0594">
        <w:trPr>
          <w:trHeight w:val="30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7D5D07F8"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Suecia</w:t>
            </w:r>
          </w:p>
        </w:tc>
        <w:tc>
          <w:tcPr>
            <w:tcW w:w="817" w:type="pct"/>
            <w:tcBorders>
              <w:top w:val="nil"/>
              <w:left w:val="nil"/>
              <w:bottom w:val="single" w:sz="4" w:space="0" w:color="auto"/>
              <w:right w:val="single" w:sz="4" w:space="0" w:color="auto"/>
            </w:tcBorders>
            <w:shd w:val="clear" w:color="auto" w:fill="auto"/>
            <w:noWrap/>
            <w:vAlign w:val="center"/>
            <w:hideMark/>
          </w:tcPr>
          <w:p w14:paraId="7507C0F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0,256</w:t>
            </w:r>
          </w:p>
        </w:tc>
        <w:tc>
          <w:tcPr>
            <w:tcW w:w="817" w:type="pct"/>
            <w:tcBorders>
              <w:top w:val="nil"/>
              <w:left w:val="nil"/>
              <w:bottom w:val="single" w:sz="4" w:space="0" w:color="auto"/>
              <w:right w:val="single" w:sz="4" w:space="0" w:color="auto"/>
            </w:tcBorders>
            <w:shd w:val="clear" w:color="auto" w:fill="auto"/>
            <w:noWrap/>
            <w:vAlign w:val="center"/>
            <w:hideMark/>
          </w:tcPr>
          <w:p w14:paraId="4583622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-0,42</w:t>
            </w:r>
          </w:p>
        </w:tc>
        <w:tc>
          <w:tcPr>
            <w:tcW w:w="817" w:type="pct"/>
            <w:tcBorders>
              <w:top w:val="nil"/>
              <w:left w:val="nil"/>
              <w:bottom w:val="single" w:sz="4" w:space="0" w:color="auto"/>
              <w:right w:val="single" w:sz="4" w:space="0" w:color="auto"/>
            </w:tcBorders>
            <w:shd w:val="clear" w:color="auto" w:fill="auto"/>
            <w:noWrap/>
            <w:vAlign w:val="center"/>
            <w:hideMark/>
          </w:tcPr>
          <w:p w14:paraId="5C5A686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0,077</w:t>
            </w:r>
          </w:p>
        </w:tc>
        <w:tc>
          <w:tcPr>
            <w:tcW w:w="817" w:type="pct"/>
            <w:tcBorders>
              <w:top w:val="nil"/>
              <w:left w:val="nil"/>
              <w:bottom w:val="single" w:sz="4" w:space="0" w:color="auto"/>
              <w:right w:val="single" w:sz="4" w:space="0" w:color="auto"/>
            </w:tcBorders>
            <w:shd w:val="clear" w:color="auto" w:fill="auto"/>
            <w:vAlign w:val="center"/>
            <w:hideMark/>
          </w:tcPr>
          <w:p w14:paraId="13654F7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0,028</w:t>
            </w:r>
          </w:p>
        </w:tc>
        <w:tc>
          <w:tcPr>
            <w:tcW w:w="817" w:type="pct"/>
            <w:tcBorders>
              <w:top w:val="nil"/>
              <w:left w:val="nil"/>
              <w:bottom w:val="single" w:sz="4" w:space="0" w:color="auto"/>
              <w:right w:val="single" w:sz="4" w:space="0" w:color="auto"/>
            </w:tcBorders>
            <w:shd w:val="clear" w:color="auto" w:fill="auto"/>
            <w:noWrap/>
            <w:vAlign w:val="center"/>
            <w:hideMark/>
          </w:tcPr>
          <w:p w14:paraId="30A6DD67"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0,894</w:t>
            </w:r>
          </w:p>
        </w:tc>
      </w:tr>
    </w:tbl>
    <w:p w14:paraId="6D09AF09" w14:textId="1442BEC6" w:rsidR="00113F33" w:rsidRPr="00113F33" w:rsidRDefault="00113F33" w:rsidP="00113F33">
      <w:pPr>
        <w:jc w:val="both"/>
        <w:rPr>
          <w:sz w:val="20"/>
          <w:szCs w:val="20"/>
        </w:rPr>
      </w:pPr>
      <w:r w:rsidRPr="00113F33">
        <w:rPr>
          <w:sz w:val="20"/>
          <w:szCs w:val="20"/>
        </w:rPr>
        <w:t xml:space="preserve">Notas: </w:t>
      </w:r>
      <w:r w:rsidR="003434F6">
        <w:rPr>
          <w:sz w:val="20"/>
          <w:szCs w:val="20"/>
        </w:rPr>
        <w:t xml:space="preserve">   </w:t>
      </w:r>
      <w:r w:rsidRPr="00113F33">
        <w:rPr>
          <w:sz w:val="20"/>
          <w:szCs w:val="20"/>
        </w:rPr>
        <w:t xml:space="preserve">(a) Los valores de </w:t>
      </w:r>
      <w:r w:rsidRPr="00113F33">
        <w:rPr>
          <w:i/>
          <w:sz w:val="20"/>
          <w:szCs w:val="20"/>
        </w:rPr>
        <w:t>GS</w:t>
      </w:r>
      <w:r w:rsidRPr="00113F33">
        <w:rPr>
          <w:sz w:val="20"/>
          <w:szCs w:val="20"/>
        </w:rPr>
        <w:t xml:space="preserve"> y la medida de eficiencia vienen estandarizados. </w:t>
      </w:r>
    </w:p>
    <w:p w14:paraId="278CE3B5" w14:textId="77777777" w:rsidR="00113F33" w:rsidRPr="00113F33" w:rsidRDefault="00113F33" w:rsidP="00113F33">
      <w:pPr>
        <w:tabs>
          <w:tab w:val="left" w:pos="1134"/>
        </w:tabs>
        <w:ind w:left="1134" w:hanging="425"/>
        <w:jc w:val="both"/>
        <w:rPr>
          <w:sz w:val="20"/>
          <w:szCs w:val="20"/>
        </w:rPr>
      </w:pPr>
      <w:r w:rsidRPr="00113F33">
        <w:rPr>
          <w:sz w:val="20"/>
          <w:szCs w:val="20"/>
        </w:rPr>
        <w:t xml:space="preserve">(b) La media y la desviación estándar de </w:t>
      </w:r>
      <w:r w:rsidRPr="00113F33">
        <w:rPr>
          <w:i/>
          <w:sz w:val="20"/>
          <w:szCs w:val="20"/>
        </w:rPr>
        <w:t>GS</w:t>
      </w:r>
      <w:r w:rsidRPr="00113F33">
        <w:rPr>
          <w:sz w:val="20"/>
          <w:szCs w:val="20"/>
        </w:rPr>
        <w:t xml:space="preserve"> son 28,400 y 3,279 respectivamente. Las del índice de eficiencia en </w:t>
      </w:r>
      <w:r w:rsidRPr="00113F33">
        <w:rPr>
          <w:i/>
          <w:sz w:val="20"/>
          <w:szCs w:val="20"/>
        </w:rPr>
        <w:t>RAP</w:t>
      </w:r>
      <w:r w:rsidRPr="00113F33">
        <w:rPr>
          <w:sz w:val="20"/>
          <w:szCs w:val="20"/>
        </w:rPr>
        <w:t xml:space="preserve"> son 0,956 y 0,041.</w:t>
      </w:r>
    </w:p>
    <w:p w14:paraId="63085EE8" w14:textId="46269DAD" w:rsidR="00113F33" w:rsidRPr="00113F33" w:rsidRDefault="00113F33" w:rsidP="00113F33">
      <w:pPr>
        <w:jc w:val="center"/>
        <w:rPr>
          <w:sz w:val="20"/>
          <w:szCs w:val="20"/>
        </w:rPr>
      </w:pPr>
      <w:r w:rsidRPr="00113F33">
        <w:rPr>
          <w:sz w:val="20"/>
          <w:szCs w:val="20"/>
        </w:rPr>
        <w:t>Fuente: Elaboración propia a partir de datos de Eurostat, 2018.</w:t>
      </w:r>
    </w:p>
    <w:p w14:paraId="532DE769" w14:textId="77777777" w:rsidR="00113F33" w:rsidRPr="00113F33" w:rsidRDefault="00113F33" w:rsidP="00113F33">
      <w:pPr>
        <w:tabs>
          <w:tab w:val="left" w:pos="1134"/>
        </w:tabs>
        <w:spacing w:after="240"/>
        <w:ind w:left="1134" w:hanging="425"/>
        <w:jc w:val="both"/>
        <w:rPr>
          <w:sz w:val="20"/>
          <w:szCs w:val="20"/>
        </w:rPr>
      </w:pPr>
    </w:p>
    <w:p w14:paraId="1EB76DFE" w14:textId="77777777" w:rsidR="003434F6" w:rsidRPr="00113F33" w:rsidRDefault="003434F6" w:rsidP="003434F6">
      <w:pPr>
        <w:spacing w:after="240"/>
        <w:ind w:firstLine="567"/>
        <w:jc w:val="both"/>
        <w:rPr>
          <w:szCs w:val="24"/>
        </w:rPr>
      </w:pPr>
      <w:r w:rsidRPr="00113F33">
        <w:rPr>
          <w:szCs w:val="24"/>
        </w:rPr>
        <w:t xml:space="preserve">En el tercer grupo, el volumen de </w:t>
      </w:r>
      <w:r w:rsidRPr="00113F33">
        <w:rPr>
          <w:i/>
          <w:szCs w:val="24"/>
        </w:rPr>
        <w:t>GS</w:t>
      </w:r>
      <w:r w:rsidRPr="00113F33">
        <w:rPr>
          <w:szCs w:val="24"/>
        </w:rPr>
        <w:t xml:space="preserve"> es muy heterogéneo aunque su promedio es cercano al promedio de la EU15. Agrupa a países menos eficientes en la reducción de la pobreza, comparativamente a los dos anteriores grupos. Están los países mediterráneos (Italia, España, Italia y Grecia), dos países con modelo EB continental (Alemania, Bélgica), que pasan a ser tres si consideramos a Austria (presenta un nivel de pertenencia al grupo de 0,258); y, finalmente, Suecia y Reino Unido.</w:t>
      </w:r>
    </w:p>
    <w:p w14:paraId="633DEC1B" w14:textId="77777777" w:rsidR="003434F6" w:rsidRDefault="003434F6" w:rsidP="003434F6">
      <w:pPr>
        <w:spacing w:after="240"/>
        <w:jc w:val="both"/>
        <w:rPr>
          <w:b/>
          <w:sz w:val="20"/>
          <w:szCs w:val="20"/>
        </w:rPr>
      </w:pPr>
    </w:p>
    <w:p w14:paraId="35CBEC13" w14:textId="77777777" w:rsidR="00394AD0" w:rsidRDefault="00394AD0">
      <w:pPr>
        <w:rPr>
          <w:b/>
          <w:sz w:val="20"/>
          <w:szCs w:val="20"/>
        </w:rPr>
      </w:pPr>
      <w:r>
        <w:rPr>
          <w:b/>
          <w:sz w:val="20"/>
          <w:szCs w:val="20"/>
        </w:rPr>
        <w:br w:type="page"/>
      </w:r>
    </w:p>
    <w:p w14:paraId="23138E06" w14:textId="3D1DA83C" w:rsidR="00113F33" w:rsidRDefault="00113F33" w:rsidP="00113F33">
      <w:pPr>
        <w:spacing w:after="240"/>
        <w:jc w:val="center"/>
        <w:rPr>
          <w:b/>
          <w:sz w:val="20"/>
          <w:szCs w:val="20"/>
        </w:rPr>
      </w:pPr>
      <w:r w:rsidRPr="00113F33">
        <w:rPr>
          <w:b/>
          <w:sz w:val="20"/>
          <w:szCs w:val="20"/>
        </w:rPr>
        <w:lastRenderedPageBreak/>
        <w:t>Tabla 8. Centroides de los clústeres identificados en la Tabla 7</w:t>
      </w:r>
      <w:r>
        <w:rPr>
          <w:b/>
          <w:sz w:val="20"/>
          <w:szCs w:val="20"/>
        </w:rPr>
        <w:t>.</w:t>
      </w:r>
    </w:p>
    <w:tbl>
      <w:tblPr>
        <w:tblW w:w="5000" w:type="pct"/>
        <w:jc w:val="center"/>
        <w:tblCellMar>
          <w:left w:w="70" w:type="dxa"/>
          <w:right w:w="70" w:type="dxa"/>
        </w:tblCellMar>
        <w:tblLook w:val="04A0" w:firstRow="1" w:lastRow="0" w:firstColumn="1" w:lastColumn="0" w:noHBand="0" w:noVBand="1"/>
      </w:tblPr>
      <w:tblGrid>
        <w:gridCol w:w="3248"/>
        <w:gridCol w:w="2881"/>
        <w:gridCol w:w="2881"/>
      </w:tblGrid>
      <w:tr w:rsidR="00113F33" w:rsidRPr="003434F6" w14:paraId="5AF862A3"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3EB7" w14:textId="77777777" w:rsidR="00113F33" w:rsidRPr="003434F6" w:rsidRDefault="00113F33" w:rsidP="006A0594">
            <w:pPr>
              <w:jc w:val="center"/>
              <w:rPr>
                <w:rFonts w:eastAsia="Times New Roman"/>
                <w:b/>
                <w:color w:val="000000"/>
                <w:sz w:val="20"/>
                <w:szCs w:val="20"/>
              </w:rPr>
            </w:pP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623ED7B5" w14:textId="77777777" w:rsidR="00113F33" w:rsidRPr="003434F6" w:rsidRDefault="00113F33" w:rsidP="006A0594">
            <w:pPr>
              <w:jc w:val="center"/>
              <w:rPr>
                <w:rFonts w:eastAsia="Times New Roman"/>
                <w:b/>
                <w:i/>
                <w:color w:val="000000"/>
                <w:sz w:val="20"/>
                <w:szCs w:val="20"/>
              </w:rPr>
            </w:pPr>
            <w:r w:rsidRPr="003434F6">
              <w:rPr>
                <w:rFonts w:eastAsia="Times New Roman"/>
                <w:b/>
                <w:i/>
                <w:color w:val="000000"/>
                <w:sz w:val="20"/>
                <w:szCs w:val="20"/>
              </w:rPr>
              <w:t>GS</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1FE623CE" w14:textId="77777777" w:rsidR="00113F33" w:rsidRPr="003434F6" w:rsidRDefault="00113F33" w:rsidP="006A0594">
            <w:pPr>
              <w:jc w:val="center"/>
              <w:rPr>
                <w:rFonts w:eastAsia="Times New Roman"/>
                <w:b/>
                <w:color w:val="000000"/>
                <w:sz w:val="20"/>
                <w:szCs w:val="20"/>
              </w:rPr>
            </w:pPr>
            <w:r w:rsidRPr="003434F6">
              <w:rPr>
                <w:rFonts w:eastAsia="Times New Roman"/>
                <w:b/>
                <w:color w:val="000000"/>
                <w:sz w:val="20"/>
                <w:szCs w:val="20"/>
              </w:rPr>
              <w:t xml:space="preserve">Eficiencia en </w:t>
            </w:r>
            <w:r w:rsidRPr="003434F6">
              <w:rPr>
                <w:rFonts w:eastAsia="Times New Roman"/>
                <w:b/>
                <w:i/>
                <w:color w:val="000000"/>
                <w:sz w:val="20"/>
                <w:szCs w:val="20"/>
              </w:rPr>
              <w:t>RAP</w:t>
            </w:r>
          </w:p>
        </w:tc>
      </w:tr>
      <w:tr w:rsidR="00113F33" w:rsidRPr="00113F33" w14:paraId="5CE3B3E1"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05ECE80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Centroide del clúster 1</w:t>
            </w:r>
          </w:p>
        </w:tc>
        <w:tc>
          <w:tcPr>
            <w:tcW w:w="1599" w:type="pct"/>
            <w:tcBorders>
              <w:top w:val="nil"/>
              <w:left w:val="nil"/>
              <w:bottom w:val="single" w:sz="4" w:space="0" w:color="auto"/>
              <w:right w:val="single" w:sz="4" w:space="0" w:color="auto"/>
            </w:tcBorders>
            <w:shd w:val="clear" w:color="auto" w:fill="auto"/>
            <w:noWrap/>
            <w:vAlign w:val="bottom"/>
          </w:tcPr>
          <w:p w14:paraId="6C8DFBB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0,935</w:t>
            </w:r>
          </w:p>
        </w:tc>
        <w:tc>
          <w:tcPr>
            <w:tcW w:w="1599" w:type="pct"/>
            <w:tcBorders>
              <w:top w:val="nil"/>
              <w:left w:val="nil"/>
              <w:bottom w:val="single" w:sz="4" w:space="0" w:color="auto"/>
              <w:right w:val="single" w:sz="4" w:space="0" w:color="auto"/>
            </w:tcBorders>
            <w:shd w:val="clear" w:color="auto" w:fill="auto"/>
            <w:noWrap/>
            <w:vAlign w:val="bottom"/>
          </w:tcPr>
          <w:p w14:paraId="1DFF0EB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0,900</w:t>
            </w:r>
          </w:p>
        </w:tc>
      </w:tr>
      <w:tr w:rsidR="00113F33" w:rsidRPr="00113F33" w14:paraId="06C57625"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2678AA3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Centroide del clúster 2</w:t>
            </w:r>
          </w:p>
        </w:tc>
        <w:tc>
          <w:tcPr>
            <w:tcW w:w="1599" w:type="pct"/>
            <w:tcBorders>
              <w:top w:val="nil"/>
              <w:left w:val="nil"/>
              <w:bottom w:val="single" w:sz="4" w:space="0" w:color="auto"/>
              <w:right w:val="single" w:sz="4" w:space="0" w:color="auto"/>
            </w:tcBorders>
            <w:shd w:val="clear" w:color="auto" w:fill="auto"/>
            <w:noWrap/>
            <w:vAlign w:val="bottom"/>
          </w:tcPr>
          <w:p w14:paraId="7E25B90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-1,807</w:t>
            </w:r>
          </w:p>
        </w:tc>
        <w:tc>
          <w:tcPr>
            <w:tcW w:w="1599" w:type="pct"/>
            <w:tcBorders>
              <w:top w:val="nil"/>
              <w:left w:val="nil"/>
              <w:bottom w:val="single" w:sz="4" w:space="0" w:color="auto"/>
              <w:right w:val="single" w:sz="4" w:space="0" w:color="auto"/>
            </w:tcBorders>
            <w:shd w:val="clear" w:color="auto" w:fill="auto"/>
            <w:noWrap/>
            <w:vAlign w:val="bottom"/>
          </w:tcPr>
          <w:p w14:paraId="0838D16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0,920</w:t>
            </w:r>
          </w:p>
        </w:tc>
      </w:tr>
      <w:tr w:rsidR="00113F33" w:rsidRPr="00113F33" w14:paraId="1E4E1A7A"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1F3D" w14:textId="77777777" w:rsidR="00113F33" w:rsidRPr="00113F33" w:rsidRDefault="00113F33" w:rsidP="006A0594">
            <w:pPr>
              <w:jc w:val="center"/>
              <w:rPr>
                <w:rFonts w:eastAsia="Times New Roman"/>
                <w:sz w:val="20"/>
                <w:szCs w:val="20"/>
              </w:rPr>
            </w:pPr>
            <w:r w:rsidRPr="00113F33">
              <w:rPr>
                <w:rFonts w:eastAsia="Times New Roman"/>
                <w:sz w:val="20"/>
                <w:szCs w:val="20"/>
              </w:rPr>
              <w:t>Centroide del clúster 3</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49855109" w14:textId="77777777" w:rsidR="00113F33" w:rsidRPr="00113F33" w:rsidRDefault="00113F33" w:rsidP="006A0594">
            <w:pPr>
              <w:jc w:val="center"/>
              <w:rPr>
                <w:rFonts w:eastAsia="Times New Roman"/>
                <w:sz w:val="20"/>
                <w:szCs w:val="20"/>
              </w:rPr>
            </w:pPr>
            <w:r w:rsidRPr="00113F33">
              <w:rPr>
                <w:rFonts w:eastAsia="Times New Roman"/>
                <w:sz w:val="20"/>
                <w:szCs w:val="20"/>
              </w:rPr>
              <w:t>-0,015</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1A829300" w14:textId="77777777" w:rsidR="00113F33" w:rsidRPr="00113F33" w:rsidRDefault="00113F33" w:rsidP="006A0594">
            <w:pPr>
              <w:jc w:val="center"/>
              <w:rPr>
                <w:rFonts w:eastAsia="Times New Roman"/>
                <w:sz w:val="20"/>
                <w:szCs w:val="20"/>
              </w:rPr>
            </w:pPr>
            <w:r w:rsidRPr="00113F33">
              <w:rPr>
                <w:rFonts w:eastAsia="Times New Roman"/>
                <w:sz w:val="20"/>
                <w:szCs w:val="20"/>
              </w:rPr>
              <w:t>-0,762</w:t>
            </w:r>
          </w:p>
        </w:tc>
      </w:tr>
    </w:tbl>
    <w:p w14:paraId="355A8BFE" w14:textId="51CB3806" w:rsidR="00113F33" w:rsidRPr="00113F33" w:rsidRDefault="00113F33" w:rsidP="00113F33">
      <w:pPr>
        <w:jc w:val="both"/>
        <w:rPr>
          <w:sz w:val="20"/>
          <w:szCs w:val="20"/>
        </w:rPr>
      </w:pPr>
      <w:r w:rsidRPr="00113F33">
        <w:rPr>
          <w:sz w:val="20"/>
          <w:szCs w:val="20"/>
        </w:rPr>
        <w:t xml:space="preserve">Notas: </w:t>
      </w:r>
      <w:r w:rsidR="003434F6">
        <w:rPr>
          <w:sz w:val="20"/>
          <w:szCs w:val="20"/>
        </w:rPr>
        <w:t xml:space="preserve">   </w:t>
      </w:r>
      <w:r w:rsidRPr="00113F33">
        <w:rPr>
          <w:sz w:val="20"/>
          <w:szCs w:val="20"/>
        </w:rPr>
        <w:t xml:space="preserve">(a) Los valores de </w:t>
      </w:r>
      <w:r w:rsidRPr="00113F33">
        <w:rPr>
          <w:i/>
          <w:sz w:val="20"/>
          <w:szCs w:val="20"/>
        </w:rPr>
        <w:t>GS</w:t>
      </w:r>
      <w:r w:rsidRPr="00113F33">
        <w:rPr>
          <w:sz w:val="20"/>
          <w:szCs w:val="20"/>
        </w:rPr>
        <w:t xml:space="preserve"> y la medida de eficiencia vienen estandarizados.</w:t>
      </w:r>
    </w:p>
    <w:p w14:paraId="6DB968A9" w14:textId="77777777" w:rsidR="00113F33" w:rsidRPr="00113F33" w:rsidRDefault="00113F33" w:rsidP="00113F33">
      <w:pPr>
        <w:tabs>
          <w:tab w:val="left" w:pos="1134"/>
        </w:tabs>
        <w:ind w:left="1134" w:hanging="425"/>
        <w:jc w:val="both"/>
        <w:rPr>
          <w:sz w:val="20"/>
          <w:szCs w:val="20"/>
        </w:rPr>
      </w:pPr>
      <w:r w:rsidRPr="00113F33">
        <w:rPr>
          <w:sz w:val="20"/>
          <w:szCs w:val="20"/>
        </w:rPr>
        <w:t xml:space="preserve">(b) La media y la desviación estándar de </w:t>
      </w:r>
      <w:r w:rsidRPr="00113F33">
        <w:rPr>
          <w:i/>
          <w:sz w:val="20"/>
          <w:szCs w:val="20"/>
        </w:rPr>
        <w:t>GS</w:t>
      </w:r>
      <w:r w:rsidRPr="00113F33">
        <w:rPr>
          <w:sz w:val="20"/>
          <w:szCs w:val="20"/>
        </w:rPr>
        <w:t xml:space="preserve"> son 28,400 y 3,279 respectivamente. Las del índice de eficiencia en </w:t>
      </w:r>
      <w:r w:rsidRPr="00113F33">
        <w:rPr>
          <w:i/>
          <w:sz w:val="20"/>
          <w:szCs w:val="20"/>
        </w:rPr>
        <w:t>RAP</w:t>
      </w:r>
      <w:r w:rsidRPr="00113F33">
        <w:rPr>
          <w:sz w:val="20"/>
          <w:szCs w:val="20"/>
        </w:rPr>
        <w:t xml:space="preserve"> son 0,956 y 0,041.</w:t>
      </w:r>
    </w:p>
    <w:p w14:paraId="7CF10FFB" w14:textId="7C3789A8" w:rsidR="00113F33" w:rsidRPr="00113F33" w:rsidRDefault="00113F33" w:rsidP="00113F33">
      <w:pPr>
        <w:jc w:val="center"/>
        <w:rPr>
          <w:sz w:val="20"/>
          <w:szCs w:val="20"/>
        </w:rPr>
      </w:pPr>
      <w:r w:rsidRPr="00113F33">
        <w:rPr>
          <w:sz w:val="20"/>
          <w:szCs w:val="20"/>
        </w:rPr>
        <w:t>Fuente: Elaboración propia a partir de datos de Eurostat, 2018.</w:t>
      </w:r>
    </w:p>
    <w:p w14:paraId="4377170C" w14:textId="77777777" w:rsidR="00113F33" w:rsidRPr="00113F33" w:rsidRDefault="00113F33" w:rsidP="00113F33">
      <w:pPr>
        <w:spacing w:after="240"/>
        <w:jc w:val="both"/>
        <w:rPr>
          <w:rFonts w:ascii="Cambria" w:hAnsi="Cambria"/>
          <w:sz w:val="18"/>
          <w:szCs w:val="20"/>
        </w:rPr>
      </w:pPr>
    </w:p>
    <w:p w14:paraId="06FE440D" w14:textId="2D743E94" w:rsidR="00113F33" w:rsidRPr="00113F33" w:rsidRDefault="00113F33" w:rsidP="00113F33">
      <w:pPr>
        <w:spacing w:after="240"/>
        <w:ind w:firstLine="567"/>
        <w:jc w:val="both"/>
      </w:pPr>
      <w:r w:rsidRPr="00113F33">
        <w:t xml:space="preserve">4.2.2. </w:t>
      </w:r>
      <w:r w:rsidRPr="00113F33">
        <w:rPr>
          <w:u w:val="single"/>
        </w:rPr>
        <w:t>Patrones de eficiencia del gasto social en la reducción de la desigualdad</w:t>
      </w:r>
    </w:p>
    <w:p w14:paraId="63856AD5" w14:textId="77777777" w:rsidR="00113F33" w:rsidRPr="00113F33" w:rsidRDefault="00113F33" w:rsidP="00113F33">
      <w:pPr>
        <w:spacing w:after="240"/>
        <w:jc w:val="both"/>
      </w:pPr>
      <w:r w:rsidRPr="00113F33">
        <w:t xml:space="preserve">La Tabla 9 recoge los valores estandarizados de </w:t>
      </w:r>
      <w:r w:rsidRPr="00113F33">
        <w:rPr>
          <w:i/>
        </w:rPr>
        <w:t>GS</w:t>
      </w:r>
      <w:r w:rsidRPr="00113F33">
        <w:t xml:space="preserve"> y de eficiencia en </w:t>
      </w:r>
      <w:r w:rsidRPr="00113F33">
        <w:rPr>
          <w:i/>
        </w:rPr>
        <w:t>RAG</w:t>
      </w:r>
      <w:r w:rsidRPr="00113F33">
        <w:t xml:space="preserve"> y los niveles de pertenencia de cada país a los tres clústeres identificados, mientras que en la Tabla 10 se indican sus centroides. Diferenciamos tres grupos, que presentan una configuración muy similar a los que detectamos en el análisis </w:t>
      </w:r>
      <w:r w:rsidRPr="00113F33">
        <w:rPr>
          <w:i/>
        </w:rPr>
        <w:t>GS-RAP</w:t>
      </w:r>
      <w:r w:rsidRPr="00113F33">
        <w:t xml:space="preserve">. Los dos primeros se componen de países que en general son eficientes en la disminución de la desigualdad pero que tienen un volumen muy diferente en gasto social. El primer grupo engloba países con EB nórdico (Dinamarca, Suecia, Holanda y Finlandia) y dos continentales (Austria y Bélgica). Francia presenta una sensible pertenencia a este grupo, más por su alto valor en gasto social que por su nivel de eficiencia al reducir la desigualdad. El segundo grupo se compone esencialmente de dos países (Luxemburgo e Irlanda) que según el análisis DEA son completamente eficientes pero con </w:t>
      </w:r>
      <w:r w:rsidRPr="00113F33">
        <w:rPr>
          <w:i/>
        </w:rPr>
        <w:t>GS</w:t>
      </w:r>
      <w:r w:rsidRPr="00113F33">
        <w:t xml:space="preserve"> notablemente por debajo del denominador común de la EU15. Llama de nuevo la atención la sensible pertenencia de España a este clúster, que puede imputarse a su patrón en </w:t>
      </w:r>
      <w:r w:rsidRPr="00113F33">
        <w:rPr>
          <w:i/>
        </w:rPr>
        <w:t>GS</w:t>
      </w:r>
      <w:r w:rsidRPr="00113F33">
        <w:t xml:space="preserve"> y no por su eficiencia en la disminución efectiva en </w:t>
      </w:r>
      <w:r w:rsidRPr="00113F33">
        <w:rPr>
          <w:i/>
        </w:rPr>
        <w:t>RAG</w:t>
      </w:r>
      <w:r w:rsidRPr="00113F33">
        <w:t xml:space="preserve">. </w:t>
      </w:r>
    </w:p>
    <w:p w14:paraId="593CD9A5" w14:textId="0B72697F" w:rsidR="00113F33" w:rsidRDefault="00113F33" w:rsidP="00113F33">
      <w:pPr>
        <w:spacing w:after="240"/>
        <w:ind w:firstLine="567"/>
        <w:jc w:val="both"/>
      </w:pPr>
      <w:r w:rsidRPr="00113F33">
        <w:t xml:space="preserve">En el tercer grupo el </w:t>
      </w:r>
      <w:r w:rsidRPr="00113F33">
        <w:rPr>
          <w:i/>
        </w:rPr>
        <w:t>GS</w:t>
      </w:r>
      <w:r w:rsidRPr="00113F33">
        <w:t xml:space="preserve"> es muy heterogéneo, con promedio cerca del de la EU15. En este grupo todos los países son escasamente eficientes en la reducción de la desigualdad en comparación a los grupos anteriores. Se engloban aquí, de nuevo, los países mediterráneos (Italia, España, Italia y Grecia), dos países con EB continental (Alemania y Francia) y Reino Unido. También es remarcable la sensible pertenencia de Dinamarca, debido a que su eficiencia en </w:t>
      </w:r>
      <w:r w:rsidRPr="00113F33">
        <w:rPr>
          <w:i/>
        </w:rPr>
        <w:t>RAG</w:t>
      </w:r>
      <w:r w:rsidRPr="00113F33">
        <w:t xml:space="preserve"> (0,97), está sensiblemente </w:t>
      </w:r>
      <w:r w:rsidR="003434F6">
        <w:t>alejada de la eficiencia plena (</w:t>
      </w:r>
      <w:r w:rsidRPr="00113F33">
        <w:t>1</w:t>
      </w:r>
      <w:r w:rsidR="003434F6">
        <w:t>)</w:t>
      </w:r>
      <w:r w:rsidRPr="00113F33">
        <w:t>.</w:t>
      </w:r>
    </w:p>
    <w:p w14:paraId="3F45F0A6" w14:textId="77777777" w:rsidR="003434F6" w:rsidRPr="00113F33" w:rsidRDefault="003434F6" w:rsidP="00113F33">
      <w:pPr>
        <w:spacing w:after="240"/>
        <w:ind w:firstLine="567"/>
        <w:jc w:val="both"/>
      </w:pPr>
    </w:p>
    <w:p w14:paraId="2B9FF6CF" w14:textId="77777777" w:rsidR="00113F33" w:rsidRPr="00113F33" w:rsidRDefault="00113F33" w:rsidP="00113F33">
      <w:pPr>
        <w:spacing w:after="240"/>
        <w:jc w:val="center"/>
        <w:rPr>
          <w:b/>
          <w:i/>
          <w:sz w:val="20"/>
          <w:szCs w:val="20"/>
        </w:rPr>
      </w:pPr>
      <w:r w:rsidRPr="00113F33">
        <w:rPr>
          <w:b/>
          <w:sz w:val="20"/>
          <w:szCs w:val="20"/>
        </w:rPr>
        <w:t xml:space="preserve">Tabla 9. Grupos del análisis cluster fuzzy k-means </w:t>
      </w:r>
      <w:r w:rsidRPr="00113F33">
        <w:rPr>
          <w:b/>
          <w:i/>
          <w:sz w:val="20"/>
          <w:szCs w:val="20"/>
        </w:rPr>
        <w:t>GS-RAG.</w:t>
      </w:r>
    </w:p>
    <w:tbl>
      <w:tblPr>
        <w:tblW w:w="5000" w:type="pct"/>
        <w:tblCellMar>
          <w:left w:w="70" w:type="dxa"/>
          <w:right w:w="70" w:type="dxa"/>
        </w:tblCellMar>
        <w:tblLook w:val="04A0" w:firstRow="1" w:lastRow="0" w:firstColumn="1" w:lastColumn="0" w:noHBand="0" w:noVBand="1"/>
      </w:tblPr>
      <w:tblGrid>
        <w:gridCol w:w="1726"/>
        <w:gridCol w:w="1503"/>
        <w:gridCol w:w="1503"/>
        <w:gridCol w:w="1503"/>
        <w:gridCol w:w="1276"/>
        <w:gridCol w:w="1499"/>
      </w:tblGrid>
      <w:tr w:rsidR="00113F33" w:rsidRPr="003434F6" w14:paraId="4F35F246" w14:textId="77777777" w:rsidTr="00113F33">
        <w:trPr>
          <w:trHeight w:val="630"/>
        </w:trPr>
        <w:tc>
          <w:tcPr>
            <w:tcW w:w="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A4B2" w14:textId="4C15E10C" w:rsidR="00113F33" w:rsidRPr="003434F6" w:rsidRDefault="00113F33" w:rsidP="006A0594">
            <w:pPr>
              <w:rPr>
                <w:rFonts w:eastAsia="Times New Roman"/>
                <w:b/>
                <w:color w:val="000000"/>
                <w:sz w:val="20"/>
                <w:szCs w:val="20"/>
              </w:rPr>
            </w:pPr>
            <w:r w:rsidRPr="003434F6">
              <w:rPr>
                <w:b/>
                <w:sz w:val="20"/>
                <w:szCs w:val="20"/>
              </w:rPr>
              <w:t xml:space="preserve"> </w:t>
            </w:r>
            <w:r w:rsidRPr="003434F6">
              <w:rPr>
                <w:rFonts w:eastAsia="Times New Roman"/>
                <w:b/>
                <w:color w:val="000000"/>
                <w:sz w:val="20"/>
                <w:szCs w:val="20"/>
              </w:rPr>
              <w:t> </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79C33BEB" w14:textId="77777777" w:rsidR="00113F33" w:rsidRPr="003434F6" w:rsidRDefault="00113F33" w:rsidP="006A0594">
            <w:pPr>
              <w:jc w:val="center"/>
              <w:rPr>
                <w:rFonts w:eastAsia="Times New Roman"/>
                <w:b/>
                <w:i/>
                <w:color w:val="000000"/>
                <w:sz w:val="20"/>
                <w:szCs w:val="20"/>
              </w:rPr>
            </w:pPr>
            <w:r w:rsidRPr="003434F6">
              <w:rPr>
                <w:rFonts w:eastAsia="Times New Roman"/>
                <w:b/>
                <w:i/>
                <w:color w:val="000000"/>
                <w:sz w:val="20"/>
                <w:szCs w:val="20"/>
              </w:rPr>
              <w:t>GS</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1DE9EEE" w14:textId="77777777" w:rsidR="00113F33" w:rsidRPr="003434F6" w:rsidRDefault="00113F33" w:rsidP="006A0594">
            <w:pPr>
              <w:jc w:val="center"/>
              <w:rPr>
                <w:rFonts w:eastAsia="Times New Roman"/>
                <w:b/>
                <w:color w:val="000000"/>
                <w:sz w:val="20"/>
                <w:szCs w:val="20"/>
              </w:rPr>
            </w:pPr>
            <w:r w:rsidRPr="003434F6">
              <w:rPr>
                <w:rFonts w:eastAsia="Times New Roman"/>
                <w:b/>
                <w:color w:val="000000"/>
                <w:sz w:val="20"/>
                <w:szCs w:val="20"/>
              </w:rPr>
              <w:t xml:space="preserve">Eficiencia en en </w:t>
            </w:r>
            <w:r w:rsidRPr="003434F6">
              <w:rPr>
                <w:rFonts w:eastAsia="Times New Roman"/>
                <w:b/>
                <w:i/>
                <w:color w:val="000000"/>
                <w:sz w:val="20"/>
                <w:szCs w:val="20"/>
              </w:rPr>
              <w:t>RAG</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6483F457"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i/>
                <w:color w:val="000000"/>
                <w:sz w:val="20"/>
                <w:szCs w:val="20"/>
                <w:vertAlign w:val="subscript"/>
              </w:rPr>
              <w:t>1</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35418C51"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i/>
                <w:color w:val="000000"/>
                <w:sz w:val="20"/>
                <w:szCs w:val="20"/>
                <w:vertAlign w:val="subscript"/>
              </w:rPr>
              <w:t>2</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EB0C9AE" w14:textId="77777777" w:rsidR="00113F33" w:rsidRPr="003434F6" w:rsidRDefault="00113F33"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i/>
                <w:color w:val="000000"/>
                <w:sz w:val="20"/>
                <w:szCs w:val="20"/>
                <w:vertAlign w:val="subscript"/>
              </w:rPr>
              <w:t>3</w:t>
            </w:r>
          </w:p>
        </w:tc>
      </w:tr>
      <w:tr w:rsidR="00113F33" w:rsidRPr="00113F33" w14:paraId="7F0A6284"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639C4E01"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Alemania</w:t>
            </w:r>
          </w:p>
        </w:tc>
        <w:tc>
          <w:tcPr>
            <w:tcW w:w="834" w:type="pct"/>
            <w:tcBorders>
              <w:top w:val="nil"/>
              <w:left w:val="nil"/>
              <w:bottom w:val="single" w:sz="4" w:space="0" w:color="auto"/>
              <w:right w:val="single" w:sz="4" w:space="0" w:color="auto"/>
            </w:tcBorders>
            <w:shd w:val="clear" w:color="auto" w:fill="auto"/>
            <w:noWrap/>
            <w:vAlign w:val="center"/>
            <w:hideMark/>
          </w:tcPr>
          <w:p w14:paraId="7E696FC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0,146</w:t>
            </w:r>
          </w:p>
        </w:tc>
        <w:tc>
          <w:tcPr>
            <w:tcW w:w="834" w:type="pct"/>
            <w:tcBorders>
              <w:top w:val="nil"/>
              <w:left w:val="nil"/>
              <w:bottom w:val="single" w:sz="4" w:space="0" w:color="auto"/>
              <w:right w:val="single" w:sz="4" w:space="0" w:color="auto"/>
            </w:tcBorders>
            <w:shd w:val="clear" w:color="auto" w:fill="auto"/>
            <w:noWrap/>
            <w:vAlign w:val="center"/>
            <w:hideMark/>
          </w:tcPr>
          <w:p w14:paraId="2DF10E7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-0,507</w:t>
            </w:r>
          </w:p>
        </w:tc>
        <w:tc>
          <w:tcPr>
            <w:tcW w:w="834" w:type="pct"/>
            <w:tcBorders>
              <w:top w:val="nil"/>
              <w:left w:val="nil"/>
              <w:bottom w:val="single" w:sz="4" w:space="0" w:color="auto"/>
              <w:right w:val="single" w:sz="4" w:space="0" w:color="auto"/>
            </w:tcBorders>
            <w:shd w:val="clear" w:color="auto" w:fill="auto"/>
            <w:noWrap/>
            <w:vAlign w:val="center"/>
            <w:hideMark/>
          </w:tcPr>
          <w:p w14:paraId="13C4AC7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0,101</w:t>
            </w:r>
          </w:p>
        </w:tc>
        <w:tc>
          <w:tcPr>
            <w:tcW w:w="708" w:type="pct"/>
            <w:tcBorders>
              <w:top w:val="nil"/>
              <w:left w:val="nil"/>
              <w:bottom w:val="single" w:sz="4" w:space="0" w:color="auto"/>
              <w:right w:val="single" w:sz="4" w:space="0" w:color="auto"/>
            </w:tcBorders>
            <w:shd w:val="clear" w:color="auto" w:fill="auto"/>
            <w:vAlign w:val="center"/>
            <w:hideMark/>
          </w:tcPr>
          <w:p w14:paraId="7B1A3FA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0,03</w:t>
            </w:r>
          </w:p>
        </w:tc>
        <w:tc>
          <w:tcPr>
            <w:tcW w:w="833" w:type="pct"/>
            <w:tcBorders>
              <w:top w:val="nil"/>
              <w:left w:val="nil"/>
              <w:bottom w:val="single" w:sz="4" w:space="0" w:color="auto"/>
              <w:right w:val="single" w:sz="4" w:space="0" w:color="auto"/>
            </w:tcBorders>
            <w:shd w:val="clear" w:color="auto" w:fill="auto"/>
            <w:noWrap/>
            <w:vAlign w:val="center"/>
            <w:hideMark/>
          </w:tcPr>
          <w:p w14:paraId="3907E5DF"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0,869</w:t>
            </w:r>
          </w:p>
        </w:tc>
      </w:tr>
      <w:tr w:rsidR="00113F33" w:rsidRPr="00113F33" w14:paraId="315DD821"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4C725F3C"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Austria</w:t>
            </w:r>
          </w:p>
        </w:tc>
        <w:tc>
          <w:tcPr>
            <w:tcW w:w="834" w:type="pct"/>
            <w:tcBorders>
              <w:top w:val="nil"/>
              <w:left w:val="nil"/>
              <w:bottom w:val="single" w:sz="4" w:space="0" w:color="auto"/>
              <w:right w:val="single" w:sz="4" w:space="0" w:color="auto"/>
            </w:tcBorders>
            <w:shd w:val="clear" w:color="auto" w:fill="auto"/>
            <w:noWrap/>
            <w:vAlign w:val="center"/>
            <w:hideMark/>
          </w:tcPr>
          <w:p w14:paraId="5ABC4F3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0,323</w:t>
            </w:r>
          </w:p>
        </w:tc>
        <w:tc>
          <w:tcPr>
            <w:tcW w:w="834" w:type="pct"/>
            <w:tcBorders>
              <w:top w:val="nil"/>
              <w:left w:val="nil"/>
              <w:bottom w:val="single" w:sz="4" w:space="0" w:color="auto"/>
              <w:right w:val="single" w:sz="4" w:space="0" w:color="auto"/>
            </w:tcBorders>
            <w:shd w:val="clear" w:color="auto" w:fill="auto"/>
            <w:noWrap/>
            <w:vAlign w:val="center"/>
            <w:hideMark/>
          </w:tcPr>
          <w:p w14:paraId="0539048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0,508</w:t>
            </w:r>
          </w:p>
        </w:tc>
        <w:tc>
          <w:tcPr>
            <w:tcW w:w="834" w:type="pct"/>
            <w:tcBorders>
              <w:top w:val="nil"/>
              <w:left w:val="nil"/>
              <w:bottom w:val="single" w:sz="4" w:space="0" w:color="auto"/>
              <w:right w:val="single" w:sz="4" w:space="0" w:color="auto"/>
            </w:tcBorders>
            <w:shd w:val="clear" w:color="auto" w:fill="auto"/>
            <w:noWrap/>
            <w:vAlign w:val="center"/>
            <w:hideMark/>
          </w:tcPr>
          <w:p w14:paraId="77702E78"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0,919</w:t>
            </w:r>
          </w:p>
        </w:tc>
        <w:tc>
          <w:tcPr>
            <w:tcW w:w="708" w:type="pct"/>
            <w:tcBorders>
              <w:top w:val="nil"/>
              <w:left w:val="nil"/>
              <w:bottom w:val="single" w:sz="4" w:space="0" w:color="auto"/>
              <w:right w:val="single" w:sz="4" w:space="0" w:color="auto"/>
            </w:tcBorders>
            <w:shd w:val="clear" w:color="auto" w:fill="auto"/>
            <w:vAlign w:val="center"/>
            <w:hideMark/>
          </w:tcPr>
          <w:p w14:paraId="25B3B9F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0,025</w:t>
            </w:r>
          </w:p>
        </w:tc>
        <w:tc>
          <w:tcPr>
            <w:tcW w:w="833" w:type="pct"/>
            <w:tcBorders>
              <w:top w:val="nil"/>
              <w:left w:val="nil"/>
              <w:bottom w:val="single" w:sz="4" w:space="0" w:color="auto"/>
              <w:right w:val="single" w:sz="4" w:space="0" w:color="auto"/>
            </w:tcBorders>
            <w:shd w:val="clear" w:color="auto" w:fill="auto"/>
            <w:noWrap/>
            <w:vAlign w:val="center"/>
            <w:hideMark/>
          </w:tcPr>
          <w:p w14:paraId="7AF202A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0,055</w:t>
            </w:r>
          </w:p>
        </w:tc>
      </w:tr>
      <w:tr w:rsidR="00113F33" w:rsidRPr="00113F33" w14:paraId="79328426"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8393AD5"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Bélgica</w:t>
            </w:r>
          </w:p>
        </w:tc>
        <w:tc>
          <w:tcPr>
            <w:tcW w:w="834" w:type="pct"/>
            <w:tcBorders>
              <w:top w:val="nil"/>
              <w:left w:val="nil"/>
              <w:bottom w:val="single" w:sz="4" w:space="0" w:color="auto"/>
              <w:right w:val="single" w:sz="4" w:space="0" w:color="auto"/>
            </w:tcBorders>
            <w:shd w:val="clear" w:color="auto" w:fill="auto"/>
            <w:noWrap/>
            <w:vAlign w:val="center"/>
            <w:hideMark/>
          </w:tcPr>
          <w:p w14:paraId="4692FD3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0,482</w:t>
            </w:r>
          </w:p>
        </w:tc>
        <w:tc>
          <w:tcPr>
            <w:tcW w:w="834" w:type="pct"/>
            <w:tcBorders>
              <w:top w:val="nil"/>
              <w:left w:val="nil"/>
              <w:bottom w:val="single" w:sz="4" w:space="0" w:color="auto"/>
              <w:right w:val="single" w:sz="4" w:space="0" w:color="auto"/>
            </w:tcBorders>
            <w:shd w:val="clear" w:color="auto" w:fill="auto"/>
            <w:noWrap/>
            <w:vAlign w:val="center"/>
            <w:hideMark/>
          </w:tcPr>
          <w:p w14:paraId="1008AF9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0,859</w:t>
            </w:r>
          </w:p>
        </w:tc>
        <w:tc>
          <w:tcPr>
            <w:tcW w:w="834" w:type="pct"/>
            <w:tcBorders>
              <w:top w:val="nil"/>
              <w:left w:val="nil"/>
              <w:bottom w:val="single" w:sz="4" w:space="0" w:color="auto"/>
              <w:right w:val="single" w:sz="4" w:space="0" w:color="auto"/>
            </w:tcBorders>
            <w:shd w:val="clear" w:color="auto" w:fill="auto"/>
            <w:noWrap/>
            <w:vAlign w:val="center"/>
            <w:hideMark/>
          </w:tcPr>
          <w:p w14:paraId="38455627"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0,991</w:t>
            </w:r>
          </w:p>
        </w:tc>
        <w:tc>
          <w:tcPr>
            <w:tcW w:w="708" w:type="pct"/>
            <w:tcBorders>
              <w:top w:val="nil"/>
              <w:left w:val="nil"/>
              <w:bottom w:val="single" w:sz="4" w:space="0" w:color="auto"/>
              <w:right w:val="single" w:sz="4" w:space="0" w:color="auto"/>
            </w:tcBorders>
            <w:shd w:val="clear" w:color="auto" w:fill="auto"/>
            <w:vAlign w:val="center"/>
            <w:hideMark/>
          </w:tcPr>
          <w:p w14:paraId="5706DA4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0,003</w:t>
            </w:r>
          </w:p>
        </w:tc>
        <w:tc>
          <w:tcPr>
            <w:tcW w:w="833" w:type="pct"/>
            <w:tcBorders>
              <w:top w:val="nil"/>
              <w:left w:val="nil"/>
              <w:bottom w:val="single" w:sz="4" w:space="0" w:color="auto"/>
              <w:right w:val="single" w:sz="4" w:space="0" w:color="auto"/>
            </w:tcBorders>
            <w:shd w:val="clear" w:color="auto" w:fill="auto"/>
            <w:noWrap/>
            <w:vAlign w:val="center"/>
            <w:hideMark/>
          </w:tcPr>
          <w:p w14:paraId="3CF0B3E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0,005</w:t>
            </w:r>
          </w:p>
        </w:tc>
      </w:tr>
      <w:tr w:rsidR="00113F33" w:rsidRPr="00113F33" w14:paraId="006799AD"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204A0D7"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Dinamarca</w:t>
            </w:r>
          </w:p>
        </w:tc>
        <w:tc>
          <w:tcPr>
            <w:tcW w:w="834" w:type="pct"/>
            <w:tcBorders>
              <w:top w:val="nil"/>
              <w:left w:val="nil"/>
              <w:bottom w:val="single" w:sz="4" w:space="0" w:color="auto"/>
              <w:right w:val="single" w:sz="4" w:space="0" w:color="auto"/>
            </w:tcBorders>
            <w:shd w:val="clear" w:color="auto" w:fill="auto"/>
            <w:noWrap/>
            <w:vAlign w:val="center"/>
            <w:hideMark/>
          </w:tcPr>
          <w:p w14:paraId="269B157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1,201</w:t>
            </w:r>
          </w:p>
        </w:tc>
        <w:tc>
          <w:tcPr>
            <w:tcW w:w="834" w:type="pct"/>
            <w:tcBorders>
              <w:top w:val="nil"/>
              <w:left w:val="nil"/>
              <w:bottom w:val="single" w:sz="4" w:space="0" w:color="auto"/>
              <w:right w:val="single" w:sz="4" w:space="0" w:color="auto"/>
            </w:tcBorders>
            <w:shd w:val="clear" w:color="auto" w:fill="auto"/>
            <w:noWrap/>
            <w:vAlign w:val="center"/>
            <w:hideMark/>
          </w:tcPr>
          <w:p w14:paraId="269393B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0,107</w:t>
            </w:r>
          </w:p>
        </w:tc>
        <w:tc>
          <w:tcPr>
            <w:tcW w:w="834" w:type="pct"/>
            <w:tcBorders>
              <w:top w:val="nil"/>
              <w:left w:val="nil"/>
              <w:bottom w:val="single" w:sz="4" w:space="0" w:color="auto"/>
              <w:right w:val="single" w:sz="4" w:space="0" w:color="auto"/>
            </w:tcBorders>
            <w:shd w:val="clear" w:color="auto" w:fill="auto"/>
            <w:noWrap/>
            <w:vAlign w:val="center"/>
            <w:hideMark/>
          </w:tcPr>
          <w:p w14:paraId="06973F6F"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0,716</w:t>
            </w:r>
          </w:p>
        </w:tc>
        <w:tc>
          <w:tcPr>
            <w:tcW w:w="708" w:type="pct"/>
            <w:tcBorders>
              <w:top w:val="nil"/>
              <w:left w:val="nil"/>
              <w:bottom w:val="single" w:sz="4" w:space="0" w:color="auto"/>
              <w:right w:val="single" w:sz="4" w:space="0" w:color="auto"/>
            </w:tcBorders>
            <w:shd w:val="clear" w:color="auto" w:fill="auto"/>
            <w:vAlign w:val="center"/>
            <w:hideMark/>
          </w:tcPr>
          <w:p w14:paraId="7369384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0,059</w:t>
            </w:r>
          </w:p>
        </w:tc>
        <w:tc>
          <w:tcPr>
            <w:tcW w:w="833" w:type="pct"/>
            <w:tcBorders>
              <w:top w:val="nil"/>
              <w:left w:val="nil"/>
              <w:bottom w:val="single" w:sz="4" w:space="0" w:color="auto"/>
              <w:right w:val="single" w:sz="4" w:space="0" w:color="auto"/>
            </w:tcBorders>
            <w:shd w:val="clear" w:color="auto" w:fill="auto"/>
            <w:noWrap/>
            <w:vAlign w:val="center"/>
            <w:hideMark/>
          </w:tcPr>
          <w:p w14:paraId="26A0C30D" w14:textId="77777777" w:rsidR="00113F33" w:rsidRPr="00113F33" w:rsidRDefault="00113F33" w:rsidP="006A0594">
            <w:pPr>
              <w:jc w:val="center"/>
              <w:rPr>
                <w:rFonts w:eastAsia="Times New Roman"/>
                <w:iCs/>
                <w:color w:val="000000"/>
                <w:sz w:val="20"/>
                <w:szCs w:val="20"/>
              </w:rPr>
            </w:pPr>
            <w:r w:rsidRPr="00113F33">
              <w:rPr>
                <w:rFonts w:eastAsia="Times New Roman"/>
                <w:iCs/>
                <w:color w:val="000000"/>
                <w:sz w:val="20"/>
                <w:szCs w:val="20"/>
              </w:rPr>
              <w:t>0,225</w:t>
            </w:r>
          </w:p>
        </w:tc>
      </w:tr>
      <w:tr w:rsidR="00113F33" w:rsidRPr="00113F33" w14:paraId="7A7C2507"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17F2E0F"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España</w:t>
            </w:r>
          </w:p>
        </w:tc>
        <w:tc>
          <w:tcPr>
            <w:tcW w:w="834" w:type="pct"/>
            <w:tcBorders>
              <w:top w:val="nil"/>
              <w:left w:val="nil"/>
              <w:bottom w:val="single" w:sz="4" w:space="0" w:color="auto"/>
              <w:right w:val="single" w:sz="4" w:space="0" w:color="auto"/>
            </w:tcBorders>
            <w:shd w:val="clear" w:color="auto" w:fill="auto"/>
            <w:noWrap/>
            <w:vAlign w:val="center"/>
            <w:hideMark/>
          </w:tcPr>
          <w:p w14:paraId="2716AF5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-0,939</w:t>
            </w:r>
          </w:p>
        </w:tc>
        <w:tc>
          <w:tcPr>
            <w:tcW w:w="834" w:type="pct"/>
            <w:tcBorders>
              <w:top w:val="nil"/>
              <w:left w:val="nil"/>
              <w:bottom w:val="single" w:sz="4" w:space="0" w:color="auto"/>
              <w:right w:val="single" w:sz="4" w:space="0" w:color="auto"/>
            </w:tcBorders>
            <w:shd w:val="clear" w:color="auto" w:fill="auto"/>
            <w:noWrap/>
            <w:vAlign w:val="center"/>
            <w:hideMark/>
          </w:tcPr>
          <w:p w14:paraId="2C52A10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-0,517</w:t>
            </w:r>
          </w:p>
        </w:tc>
        <w:tc>
          <w:tcPr>
            <w:tcW w:w="834" w:type="pct"/>
            <w:tcBorders>
              <w:top w:val="nil"/>
              <w:left w:val="nil"/>
              <w:bottom w:val="single" w:sz="4" w:space="0" w:color="auto"/>
              <w:right w:val="single" w:sz="4" w:space="0" w:color="auto"/>
            </w:tcBorders>
            <w:shd w:val="clear" w:color="auto" w:fill="auto"/>
            <w:noWrap/>
            <w:vAlign w:val="center"/>
            <w:hideMark/>
          </w:tcPr>
          <w:p w14:paraId="78F8A1B8" w14:textId="77777777" w:rsidR="00113F33" w:rsidRPr="00113F33" w:rsidRDefault="00113F33" w:rsidP="006A0594">
            <w:pPr>
              <w:jc w:val="center"/>
              <w:rPr>
                <w:rFonts w:eastAsia="Times New Roman"/>
                <w:iCs/>
                <w:color w:val="000000"/>
                <w:sz w:val="20"/>
                <w:szCs w:val="20"/>
              </w:rPr>
            </w:pPr>
            <w:r w:rsidRPr="00113F33">
              <w:rPr>
                <w:rFonts w:eastAsia="Times New Roman"/>
                <w:iCs/>
                <w:color w:val="000000"/>
                <w:sz w:val="20"/>
                <w:szCs w:val="20"/>
              </w:rPr>
              <w:t>0,156</w:t>
            </w:r>
          </w:p>
        </w:tc>
        <w:tc>
          <w:tcPr>
            <w:tcW w:w="708" w:type="pct"/>
            <w:tcBorders>
              <w:top w:val="nil"/>
              <w:left w:val="nil"/>
              <w:bottom w:val="single" w:sz="4" w:space="0" w:color="auto"/>
              <w:right w:val="single" w:sz="4" w:space="0" w:color="auto"/>
            </w:tcBorders>
            <w:shd w:val="clear" w:color="auto" w:fill="auto"/>
            <w:vAlign w:val="center"/>
            <w:hideMark/>
          </w:tcPr>
          <w:p w14:paraId="75610CAC" w14:textId="77777777" w:rsidR="00113F33" w:rsidRPr="00113F33" w:rsidRDefault="00113F33" w:rsidP="006A0594">
            <w:pPr>
              <w:jc w:val="center"/>
              <w:rPr>
                <w:rFonts w:eastAsia="Times New Roman"/>
                <w:iCs/>
                <w:color w:val="000000"/>
                <w:sz w:val="20"/>
                <w:szCs w:val="20"/>
              </w:rPr>
            </w:pPr>
            <w:r w:rsidRPr="00113F33">
              <w:rPr>
                <w:rFonts w:eastAsia="Times New Roman"/>
                <w:iCs/>
                <w:color w:val="000000"/>
                <w:sz w:val="20"/>
                <w:szCs w:val="20"/>
              </w:rPr>
              <w:t>0,204</w:t>
            </w:r>
          </w:p>
        </w:tc>
        <w:tc>
          <w:tcPr>
            <w:tcW w:w="833" w:type="pct"/>
            <w:tcBorders>
              <w:top w:val="nil"/>
              <w:left w:val="nil"/>
              <w:bottom w:val="single" w:sz="4" w:space="0" w:color="auto"/>
              <w:right w:val="single" w:sz="4" w:space="0" w:color="auto"/>
            </w:tcBorders>
            <w:shd w:val="clear" w:color="auto" w:fill="auto"/>
            <w:noWrap/>
            <w:vAlign w:val="center"/>
            <w:hideMark/>
          </w:tcPr>
          <w:p w14:paraId="27301401"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0,64</w:t>
            </w:r>
          </w:p>
        </w:tc>
      </w:tr>
      <w:tr w:rsidR="00113F33" w:rsidRPr="00113F33" w14:paraId="4B19F7F4"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07A5865E"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Finlandia</w:t>
            </w:r>
          </w:p>
        </w:tc>
        <w:tc>
          <w:tcPr>
            <w:tcW w:w="834" w:type="pct"/>
            <w:tcBorders>
              <w:top w:val="nil"/>
              <w:left w:val="nil"/>
              <w:bottom w:val="single" w:sz="4" w:space="0" w:color="auto"/>
              <w:right w:val="single" w:sz="4" w:space="0" w:color="auto"/>
            </w:tcBorders>
            <w:shd w:val="clear" w:color="auto" w:fill="auto"/>
            <w:noWrap/>
            <w:vAlign w:val="center"/>
            <w:hideMark/>
          </w:tcPr>
          <w:p w14:paraId="74206B5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0,707</w:t>
            </w:r>
          </w:p>
        </w:tc>
        <w:tc>
          <w:tcPr>
            <w:tcW w:w="834" w:type="pct"/>
            <w:tcBorders>
              <w:top w:val="nil"/>
              <w:left w:val="nil"/>
              <w:bottom w:val="single" w:sz="4" w:space="0" w:color="auto"/>
              <w:right w:val="single" w:sz="4" w:space="0" w:color="auto"/>
            </w:tcBorders>
            <w:shd w:val="clear" w:color="auto" w:fill="auto"/>
            <w:noWrap/>
            <w:vAlign w:val="center"/>
            <w:hideMark/>
          </w:tcPr>
          <w:p w14:paraId="1AC29C0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1,036</w:t>
            </w:r>
          </w:p>
        </w:tc>
        <w:tc>
          <w:tcPr>
            <w:tcW w:w="834" w:type="pct"/>
            <w:tcBorders>
              <w:top w:val="nil"/>
              <w:left w:val="nil"/>
              <w:bottom w:val="single" w:sz="4" w:space="0" w:color="auto"/>
              <w:right w:val="single" w:sz="4" w:space="0" w:color="auto"/>
            </w:tcBorders>
            <w:shd w:val="clear" w:color="auto" w:fill="auto"/>
            <w:noWrap/>
            <w:vAlign w:val="center"/>
            <w:hideMark/>
          </w:tcPr>
          <w:p w14:paraId="36E7C395"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0,967</w:t>
            </w:r>
          </w:p>
        </w:tc>
        <w:tc>
          <w:tcPr>
            <w:tcW w:w="708" w:type="pct"/>
            <w:tcBorders>
              <w:top w:val="nil"/>
              <w:left w:val="nil"/>
              <w:bottom w:val="single" w:sz="4" w:space="0" w:color="auto"/>
              <w:right w:val="single" w:sz="4" w:space="0" w:color="auto"/>
            </w:tcBorders>
            <w:shd w:val="clear" w:color="auto" w:fill="auto"/>
            <w:vAlign w:val="center"/>
            <w:hideMark/>
          </w:tcPr>
          <w:p w14:paraId="7446F03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0,014</w:t>
            </w:r>
          </w:p>
        </w:tc>
        <w:tc>
          <w:tcPr>
            <w:tcW w:w="833" w:type="pct"/>
            <w:tcBorders>
              <w:top w:val="nil"/>
              <w:left w:val="nil"/>
              <w:bottom w:val="single" w:sz="4" w:space="0" w:color="auto"/>
              <w:right w:val="single" w:sz="4" w:space="0" w:color="auto"/>
            </w:tcBorders>
            <w:shd w:val="clear" w:color="auto" w:fill="auto"/>
            <w:noWrap/>
            <w:vAlign w:val="center"/>
            <w:hideMark/>
          </w:tcPr>
          <w:p w14:paraId="607A339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w:t>
            </w:r>
          </w:p>
        </w:tc>
      </w:tr>
      <w:tr w:rsidR="00113F33" w:rsidRPr="00113F33" w14:paraId="46A26F01"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3E4A2C26"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Francia</w:t>
            </w:r>
          </w:p>
        </w:tc>
        <w:tc>
          <w:tcPr>
            <w:tcW w:w="834" w:type="pct"/>
            <w:tcBorders>
              <w:top w:val="nil"/>
              <w:left w:val="nil"/>
              <w:bottom w:val="single" w:sz="4" w:space="0" w:color="auto"/>
              <w:right w:val="single" w:sz="4" w:space="0" w:color="auto"/>
            </w:tcBorders>
            <w:shd w:val="clear" w:color="auto" w:fill="auto"/>
            <w:noWrap/>
            <w:vAlign w:val="center"/>
            <w:hideMark/>
          </w:tcPr>
          <w:p w14:paraId="3E8C85D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1,598</w:t>
            </w:r>
          </w:p>
        </w:tc>
        <w:tc>
          <w:tcPr>
            <w:tcW w:w="834" w:type="pct"/>
            <w:tcBorders>
              <w:top w:val="nil"/>
              <w:left w:val="nil"/>
              <w:bottom w:val="single" w:sz="4" w:space="0" w:color="auto"/>
              <w:right w:val="single" w:sz="4" w:space="0" w:color="auto"/>
            </w:tcBorders>
            <w:shd w:val="clear" w:color="auto" w:fill="auto"/>
            <w:noWrap/>
            <w:vAlign w:val="center"/>
            <w:hideMark/>
          </w:tcPr>
          <w:p w14:paraId="2FF799B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-1,642</w:t>
            </w:r>
          </w:p>
        </w:tc>
        <w:tc>
          <w:tcPr>
            <w:tcW w:w="834" w:type="pct"/>
            <w:tcBorders>
              <w:top w:val="nil"/>
              <w:left w:val="nil"/>
              <w:bottom w:val="single" w:sz="4" w:space="0" w:color="auto"/>
              <w:right w:val="single" w:sz="4" w:space="0" w:color="auto"/>
            </w:tcBorders>
            <w:shd w:val="clear" w:color="auto" w:fill="auto"/>
            <w:noWrap/>
            <w:vAlign w:val="center"/>
            <w:hideMark/>
          </w:tcPr>
          <w:p w14:paraId="48D0F10C" w14:textId="77777777" w:rsidR="00113F33" w:rsidRPr="00113F33" w:rsidRDefault="00113F33" w:rsidP="006A0594">
            <w:pPr>
              <w:jc w:val="center"/>
              <w:rPr>
                <w:rFonts w:eastAsia="Times New Roman"/>
                <w:iCs/>
                <w:color w:val="000000"/>
                <w:sz w:val="20"/>
                <w:szCs w:val="20"/>
              </w:rPr>
            </w:pPr>
            <w:r w:rsidRPr="00113F33">
              <w:rPr>
                <w:rFonts w:eastAsia="Times New Roman"/>
                <w:iCs/>
                <w:color w:val="000000"/>
                <w:sz w:val="20"/>
                <w:szCs w:val="20"/>
              </w:rPr>
              <w:t>0,286</w:t>
            </w:r>
          </w:p>
        </w:tc>
        <w:tc>
          <w:tcPr>
            <w:tcW w:w="708" w:type="pct"/>
            <w:tcBorders>
              <w:top w:val="nil"/>
              <w:left w:val="nil"/>
              <w:bottom w:val="single" w:sz="4" w:space="0" w:color="auto"/>
              <w:right w:val="single" w:sz="4" w:space="0" w:color="auto"/>
            </w:tcBorders>
            <w:shd w:val="clear" w:color="auto" w:fill="auto"/>
            <w:vAlign w:val="center"/>
            <w:hideMark/>
          </w:tcPr>
          <w:p w14:paraId="12BC44F6" w14:textId="77777777" w:rsidR="00113F33" w:rsidRPr="00113F33" w:rsidRDefault="00113F33" w:rsidP="006A0594">
            <w:pPr>
              <w:jc w:val="center"/>
              <w:rPr>
                <w:rFonts w:eastAsia="Times New Roman"/>
                <w:iCs/>
                <w:color w:val="000000"/>
                <w:sz w:val="20"/>
                <w:szCs w:val="20"/>
              </w:rPr>
            </w:pPr>
            <w:r w:rsidRPr="00113F33">
              <w:rPr>
                <w:rFonts w:eastAsia="Times New Roman"/>
                <w:iCs/>
                <w:color w:val="000000"/>
                <w:sz w:val="20"/>
                <w:szCs w:val="20"/>
              </w:rPr>
              <w:t>0,105</w:t>
            </w:r>
          </w:p>
        </w:tc>
        <w:tc>
          <w:tcPr>
            <w:tcW w:w="833" w:type="pct"/>
            <w:tcBorders>
              <w:top w:val="nil"/>
              <w:left w:val="nil"/>
              <w:bottom w:val="single" w:sz="4" w:space="0" w:color="auto"/>
              <w:right w:val="single" w:sz="4" w:space="0" w:color="auto"/>
            </w:tcBorders>
            <w:shd w:val="clear" w:color="auto" w:fill="auto"/>
            <w:noWrap/>
            <w:vAlign w:val="center"/>
            <w:hideMark/>
          </w:tcPr>
          <w:p w14:paraId="5BAE3E8C"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0,608</w:t>
            </w:r>
          </w:p>
        </w:tc>
      </w:tr>
      <w:tr w:rsidR="00113F33" w:rsidRPr="00113F33" w14:paraId="3956E940"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608953A6"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Grecia</w:t>
            </w:r>
          </w:p>
        </w:tc>
        <w:tc>
          <w:tcPr>
            <w:tcW w:w="834" w:type="pct"/>
            <w:tcBorders>
              <w:top w:val="nil"/>
              <w:left w:val="nil"/>
              <w:bottom w:val="single" w:sz="4" w:space="0" w:color="auto"/>
              <w:right w:val="single" w:sz="4" w:space="0" w:color="auto"/>
            </w:tcBorders>
            <w:shd w:val="clear" w:color="auto" w:fill="auto"/>
            <w:noWrap/>
            <w:vAlign w:val="center"/>
            <w:hideMark/>
          </w:tcPr>
          <w:p w14:paraId="0F5B02C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-0,488</w:t>
            </w:r>
          </w:p>
        </w:tc>
        <w:tc>
          <w:tcPr>
            <w:tcW w:w="834" w:type="pct"/>
            <w:tcBorders>
              <w:top w:val="nil"/>
              <w:left w:val="nil"/>
              <w:bottom w:val="single" w:sz="4" w:space="0" w:color="auto"/>
              <w:right w:val="single" w:sz="4" w:space="0" w:color="auto"/>
            </w:tcBorders>
            <w:shd w:val="clear" w:color="auto" w:fill="auto"/>
            <w:noWrap/>
            <w:vAlign w:val="center"/>
            <w:hideMark/>
          </w:tcPr>
          <w:p w14:paraId="3186C00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-0,751</w:t>
            </w:r>
          </w:p>
        </w:tc>
        <w:tc>
          <w:tcPr>
            <w:tcW w:w="834" w:type="pct"/>
            <w:tcBorders>
              <w:top w:val="nil"/>
              <w:left w:val="nil"/>
              <w:bottom w:val="single" w:sz="4" w:space="0" w:color="auto"/>
              <w:right w:val="single" w:sz="4" w:space="0" w:color="auto"/>
            </w:tcBorders>
            <w:shd w:val="clear" w:color="auto" w:fill="auto"/>
            <w:noWrap/>
            <w:vAlign w:val="center"/>
            <w:hideMark/>
          </w:tcPr>
          <w:p w14:paraId="19825CD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0,059</w:t>
            </w:r>
          </w:p>
        </w:tc>
        <w:tc>
          <w:tcPr>
            <w:tcW w:w="708" w:type="pct"/>
            <w:tcBorders>
              <w:top w:val="nil"/>
              <w:left w:val="nil"/>
              <w:bottom w:val="single" w:sz="4" w:space="0" w:color="auto"/>
              <w:right w:val="single" w:sz="4" w:space="0" w:color="auto"/>
            </w:tcBorders>
            <w:shd w:val="clear" w:color="auto" w:fill="auto"/>
            <w:vAlign w:val="center"/>
            <w:hideMark/>
          </w:tcPr>
          <w:p w14:paraId="3930345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0,042</w:t>
            </w:r>
          </w:p>
        </w:tc>
        <w:tc>
          <w:tcPr>
            <w:tcW w:w="833" w:type="pct"/>
            <w:tcBorders>
              <w:top w:val="nil"/>
              <w:left w:val="nil"/>
              <w:bottom w:val="single" w:sz="4" w:space="0" w:color="auto"/>
              <w:right w:val="single" w:sz="4" w:space="0" w:color="auto"/>
            </w:tcBorders>
            <w:shd w:val="clear" w:color="auto" w:fill="auto"/>
            <w:noWrap/>
            <w:vAlign w:val="center"/>
            <w:hideMark/>
          </w:tcPr>
          <w:p w14:paraId="0955BD96"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0,898</w:t>
            </w:r>
          </w:p>
        </w:tc>
      </w:tr>
      <w:tr w:rsidR="00113F33" w:rsidRPr="00113F33" w14:paraId="195728FD"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563F1A36"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Holanda</w:t>
            </w:r>
          </w:p>
        </w:tc>
        <w:tc>
          <w:tcPr>
            <w:tcW w:w="834" w:type="pct"/>
            <w:tcBorders>
              <w:top w:val="nil"/>
              <w:left w:val="nil"/>
              <w:bottom w:val="single" w:sz="4" w:space="0" w:color="auto"/>
              <w:right w:val="single" w:sz="4" w:space="0" w:color="auto"/>
            </w:tcBorders>
            <w:shd w:val="clear" w:color="auto" w:fill="auto"/>
            <w:noWrap/>
            <w:vAlign w:val="center"/>
            <w:hideMark/>
          </w:tcPr>
          <w:p w14:paraId="4DDD5AE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0,701</w:t>
            </w:r>
          </w:p>
        </w:tc>
        <w:tc>
          <w:tcPr>
            <w:tcW w:w="834" w:type="pct"/>
            <w:tcBorders>
              <w:top w:val="nil"/>
              <w:left w:val="nil"/>
              <w:bottom w:val="single" w:sz="4" w:space="0" w:color="auto"/>
              <w:right w:val="single" w:sz="4" w:space="0" w:color="auto"/>
            </w:tcBorders>
            <w:shd w:val="clear" w:color="auto" w:fill="auto"/>
            <w:noWrap/>
            <w:vAlign w:val="center"/>
            <w:hideMark/>
          </w:tcPr>
          <w:p w14:paraId="3FF59FEB"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1,036</w:t>
            </w:r>
          </w:p>
        </w:tc>
        <w:tc>
          <w:tcPr>
            <w:tcW w:w="834" w:type="pct"/>
            <w:tcBorders>
              <w:top w:val="nil"/>
              <w:left w:val="nil"/>
              <w:bottom w:val="single" w:sz="4" w:space="0" w:color="auto"/>
              <w:right w:val="single" w:sz="4" w:space="0" w:color="auto"/>
            </w:tcBorders>
            <w:shd w:val="clear" w:color="auto" w:fill="auto"/>
            <w:noWrap/>
            <w:vAlign w:val="center"/>
            <w:hideMark/>
          </w:tcPr>
          <w:p w14:paraId="4D04DD33"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0,967</w:t>
            </w:r>
          </w:p>
        </w:tc>
        <w:tc>
          <w:tcPr>
            <w:tcW w:w="708" w:type="pct"/>
            <w:tcBorders>
              <w:top w:val="nil"/>
              <w:left w:val="nil"/>
              <w:bottom w:val="single" w:sz="4" w:space="0" w:color="auto"/>
              <w:right w:val="single" w:sz="4" w:space="0" w:color="auto"/>
            </w:tcBorders>
            <w:shd w:val="clear" w:color="auto" w:fill="auto"/>
            <w:vAlign w:val="center"/>
            <w:hideMark/>
          </w:tcPr>
          <w:p w14:paraId="4EA6DDC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0,013</w:t>
            </w:r>
          </w:p>
        </w:tc>
        <w:tc>
          <w:tcPr>
            <w:tcW w:w="833" w:type="pct"/>
            <w:tcBorders>
              <w:top w:val="nil"/>
              <w:left w:val="nil"/>
              <w:bottom w:val="single" w:sz="4" w:space="0" w:color="auto"/>
              <w:right w:val="single" w:sz="4" w:space="0" w:color="auto"/>
            </w:tcBorders>
            <w:shd w:val="clear" w:color="auto" w:fill="auto"/>
            <w:noWrap/>
            <w:vAlign w:val="center"/>
            <w:hideMark/>
          </w:tcPr>
          <w:p w14:paraId="7296AC2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0,019</w:t>
            </w:r>
          </w:p>
        </w:tc>
      </w:tr>
      <w:tr w:rsidR="00113F33" w:rsidRPr="00113F33" w14:paraId="032F4FBA"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3FCC3D10"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Irlanda</w:t>
            </w:r>
          </w:p>
        </w:tc>
        <w:tc>
          <w:tcPr>
            <w:tcW w:w="834" w:type="pct"/>
            <w:tcBorders>
              <w:top w:val="nil"/>
              <w:left w:val="nil"/>
              <w:bottom w:val="single" w:sz="4" w:space="0" w:color="auto"/>
              <w:right w:val="single" w:sz="4" w:space="0" w:color="auto"/>
            </w:tcBorders>
            <w:shd w:val="clear" w:color="auto" w:fill="auto"/>
            <w:noWrap/>
            <w:vAlign w:val="center"/>
            <w:hideMark/>
          </w:tcPr>
          <w:p w14:paraId="194F6FC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-1,921</w:t>
            </w:r>
          </w:p>
        </w:tc>
        <w:tc>
          <w:tcPr>
            <w:tcW w:w="834" w:type="pct"/>
            <w:tcBorders>
              <w:top w:val="nil"/>
              <w:left w:val="nil"/>
              <w:bottom w:val="single" w:sz="4" w:space="0" w:color="auto"/>
              <w:right w:val="single" w:sz="4" w:space="0" w:color="auto"/>
            </w:tcBorders>
            <w:shd w:val="clear" w:color="auto" w:fill="auto"/>
            <w:noWrap/>
            <w:vAlign w:val="center"/>
            <w:hideMark/>
          </w:tcPr>
          <w:p w14:paraId="177FB40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1,036</w:t>
            </w:r>
          </w:p>
        </w:tc>
        <w:tc>
          <w:tcPr>
            <w:tcW w:w="834" w:type="pct"/>
            <w:tcBorders>
              <w:top w:val="nil"/>
              <w:left w:val="nil"/>
              <w:bottom w:val="single" w:sz="4" w:space="0" w:color="auto"/>
              <w:right w:val="single" w:sz="4" w:space="0" w:color="auto"/>
            </w:tcBorders>
            <w:shd w:val="clear" w:color="auto" w:fill="auto"/>
            <w:noWrap/>
            <w:vAlign w:val="center"/>
            <w:hideMark/>
          </w:tcPr>
          <w:p w14:paraId="192B4E9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0,002</w:t>
            </w:r>
          </w:p>
        </w:tc>
        <w:tc>
          <w:tcPr>
            <w:tcW w:w="708" w:type="pct"/>
            <w:tcBorders>
              <w:top w:val="nil"/>
              <w:left w:val="nil"/>
              <w:bottom w:val="single" w:sz="4" w:space="0" w:color="auto"/>
              <w:right w:val="single" w:sz="4" w:space="0" w:color="auto"/>
            </w:tcBorders>
            <w:shd w:val="clear" w:color="auto" w:fill="auto"/>
            <w:vAlign w:val="center"/>
            <w:hideMark/>
          </w:tcPr>
          <w:p w14:paraId="2D738220"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0,996</w:t>
            </w:r>
          </w:p>
        </w:tc>
        <w:tc>
          <w:tcPr>
            <w:tcW w:w="833" w:type="pct"/>
            <w:tcBorders>
              <w:top w:val="nil"/>
              <w:left w:val="nil"/>
              <w:bottom w:val="single" w:sz="4" w:space="0" w:color="auto"/>
              <w:right w:val="single" w:sz="4" w:space="0" w:color="auto"/>
            </w:tcBorders>
            <w:shd w:val="clear" w:color="auto" w:fill="auto"/>
            <w:noWrap/>
            <w:vAlign w:val="center"/>
            <w:hideMark/>
          </w:tcPr>
          <w:p w14:paraId="4353DC18"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0,002</w:t>
            </w:r>
          </w:p>
        </w:tc>
      </w:tr>
      <w:tr w:rsidR="00113F33" w:rsidRPr="00113F33" w14:paraId="4E4397CB"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49123F3A"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Italia</w:t>
            </w:r>
          </w:p>
        </w:tc>
        <w:tc>
          <w:tcPr>
            <w:tcW w:w="834" w:type="pct"/>
            <w:tcBorders>
              <w:top w:val="nil"/>
              <w:left w:val="nil"/>
              <w:bottom w:val="single" w:sz="4" w:space="0" w:color="auto"/>
              <w:right w:val="single" w:sz="4" w:space="0" w:color="auto"/>
            </w:tcBorders>
            <w:shd w:val="clear" w:color="auto" w:fill="auto"/>
            <w:noWrap/>
            <w:vAlign w:val="center"/>
            <w:hideMark/>
          </w:tcPr>
          <w:p w14:paraId="5C1077C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0,329</w:t>
            </w:r>
          </w:p>
        </w:tc>
        <w:tc>
          <w:tcPr>
            <w:tcW w:w="834" w:type="pct"/>
            <w:tcBorders>
              <w:top w:val="nil"/>
              <w:left w:val="nil"/>
              <w:bottom w:val="single" w:sz="4" w:space="0" w:color="auto"/>
              <w:right w:val="single" w:sz="4" w:space="0" w:color="auto"/>
            </w:tcBorders>
            <w:shd w:val="clear" w:color="auto" w:fill="auto"/>
            <w:noWrap/>
            <w:vAlign w:val="center"/>
            <w:hideMark/>
          </w:tcPr>
          <w:p w14:paraId="7ED0DB3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-0,613</w:t>
            </w:r>
          </w:p>
        </w:tc>
        <w:tc>
          <w:tcPr>
            <w:tcW w:w="834" w:type="pct"/>
            <w:tcBorders>
              <w:top w:val="nil"/>
              <w:left w:val="nil"/>
              <w:bottom w:val="single" w:sz="4" w:space="0" w:color="auto"/>
              <w:right w:val="single" w:sz="4" w:space="0" w:color="auto"/>
            </w:tcBorders>
            <w:shd w:val="clear" w:color="auto" w:fill="auto"/>
            <w:noWrap/>
            <w:vAlign w:val="center"/>
            <w:hideMark/>
          </w:tcPr>
          <w:p w14:paraId="2D77EFA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0,104</w:t>
            </w:r>
          </w:p>
        </w:tc>
        <w:tc>
          <w:tcPr>
            <w:tcW w:w="708" w:type="pct"/>
            <w:tcBorders>
              <w:top w:val="nil"/>
              <w:left w:val="nil"/>
              <w:bottom w:val="single" w:sz="4" w:space="0" w:color="auto"/>
              <w:right w:val="single" w:sz="4" w:space="0" w:color="auto"/>
            </w:tcBorders>
            <w:shd w:val="clear" w:color="auto" w:fill="auto"/>
            <w:vAlign w:val="center"/>
            <w:hideMark/>
          </w:tcPr>
          <w:p w14:paraId="6D32C05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0,028</w:t>
            </w:r>
          </w:p>
        </w:tc>
        <w:tc>
          <w:tcPr>
            <w:tcW w:w="833" w:type="pct"/>
            <w:tcBorders>
              <w:top w:val="nil"/>
              <w:left w:val="nil"/>
              <w:bottom w:val="single" w:sz="4" w:space="0" w:color="auto"/>
              <w:right w:val="single" w:sz="4" w:space="0" w:color="auto"/>
            </w:tcBorders>
            <w:shd w:val="clear" w:color="auto" w:fill="auto"/>
            <w:noWrap/>
            <w:vAlign w:val="center"/>
            <w:hideMark/>
          </w:tcPr>
          <w:p w14:paraId="4F0A03E0"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0,867</w:t>
            </w:r>
          </w:p>
        </w:tc>
      </w:tr>
      <w:tr w:rsidR="00113F33" w:rsidRPr="00113F33" w14:paraId="76CB5EC5"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12232469"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lastRenderedPageBreak/>
              <w:t>Luxemburgo</w:t>
            </w:r>
          </w:p>
        </w:tc>
        <w:tc>
          <w:tcPr>
            <w:tcW w:w="834" w:type="pct"/>
            <w:tcBorders>
              <w:top w:val="nil"/>
              <w:left w:val="nil"/>
              <w:bottom w:val="single" w:sz="4" w:space="0" w:color="auto"/>
              <w:right w:val="single" w:sz="4" w:space="0" w:color="auto"/>
            </w:tcBorders>
            <w:shd w:val="clear" w:color="auto" w:fill="auto"/>
            <w:noWrap/>
            <w:vAlign w:val="center"/>
            <w:hideMark/>
          </w:tcPr>
          <w:p w14:paraId="69388591"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-1,824</w:t>
            </w:r>
          </w:p>
        </w:tc>
        <w:tc>
          <w:tcPr>
            <w:tcW w:w="834" w:type="pct"/>
            <w:tcBorders>
              <w:top w:val="nil"/>
              <w:left w:val="nil"/>
              <w:bottom w:val="single" w:sz="4" w:space="0" w:color="auto"/>
              <w:right w:val="single" w:sz="4" w:space="0" w:color="auto"/>
            </w:tcBorders>
            <w:shd w:val="clear" w:color="auto" w:fill="auto"/>
            <w:noWrap/>
            <w:vAlign w:val="center"/>
            <w:hideMark/>
          </w:tcPr>
          <w:p w14:paraId="3868F912"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1,036</w:t>
            </w:r>
          </w:p>
        </w:tc>
        <w:tc>
          <w:tcPr>
            <w:tcW w:w="834" w:type="pct"/>
            <w:tcBorders>
              <w:top w:val="nil"/>
              <w:left w:val="nil"/>
              <w:bottom w:val="single" w:sz="4" w:space="0" w:color="auto"/>
              <w:right w:val="single" w:sz="4" w:space="0" w:color="auto"/>
            </w:tcBorders>
            <w:shd w:val="clear" w:color="auto" w:fill="auto"/>
            <w:noWrap/>
            <w:vAlign w:val="center"/>
            <w:hideMark/>
          </w:tcPr>
          <w:p w14:paraId="2E2808DF"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0,001</w:t>
            </w:r>
          </w:p>
        </w:tc>
        <w:tc>
          <w:tcPr>
            <w:tcW w:w="708" w:type="pct"/>
            <w:tcBorders>
              <w:top w:val="nil"/>
              <w:left w:val="nil"/>
              <w:bottom w:val="single" w:sz="4" w:space="0" w:color="auto"/>
              <w:right w:val="single" w:sz="4" w:space="0" w:color="auto"/>
            </w:tcBorders>
            <w:shd w:val="clear" w:color="auto" w:fill="auto"/>
            <w:vAlign w:val="center"/>
            <w:hideMark/>
          </w:tcPr>
          <w:p w14:paraId="50E92AFA"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0,999</w:t>
            </w:r>
          </w:p>
        </w:tc>
        <w:tc>
          <w:tcPr>
            <w:tcW w:w="833" w:type="pct"/>
            <w:tcBorders>
              <w:top w:val="nil"/>
              <w:left w:val="nil"/>
              <w:bottom w:val="single" w:sz="4" w:space="0" w:color="auto"/>
              <w:right w:val="single" w:sz="4" w:space="0" w:color="auto"/>
            </w:tcBorders>
            <w:shd w:val="clear" w:color="auto" w:fill="auto"/>
            <w:noWrap/>
            <w:vAlign w:val="center"/>
            <w:hideMark/>
          </w:tcPr>
          <w:p w14:paraId="1C229C1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w:t>
            </w:r>
          </w:p>
        </w:tc>
      </w:tr>
      <w:tr w:rsidR="00113F33" w:rsidRPr="00113F33" w14:paraId="0C0BAD63"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2FF96C9"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Portugal</w:t>
            </w:r>
          </w:p>
        </w:tc>
        <w:tc>
          <w:tcPr>
            <w:tcW w:w="834" w:type="pct"/>
            <w:tcBorders>
              <w:top w:val="nil"/>
              <w:left w:val="nil"/>
              <w:bottom w:val="single" w:sz="4" w:space="0" w:color="auto"/>
              <w:right w:val="single" w:sz="4" w:space="0" w:color="auto"/>
            </w:tcBorders>
            <w:shd w:val="clear" w:color="auto" w:fill="auto"/>
            <w:noWrap/>
            <w:vAlign w:val="center"/>
            <w:hideMark/>
          </w:tcPr>
          <w:p w14:paraId="52489A86"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-0,585</w:t>
            </w:r>
          </w:p>
        </w:tc>
        <w:tc>
          <w:tcPr>
            <w:tcW w:w="834" w:type="pct"/>
            <w:tcBorders>
              <w:top w:val="nil"/>
              <w:left w:val="nil"/>
              <w:bottom w:val="single" w:sz="4" w:space="0" w:color="auto"/>
              <w:right w:val="single" w:sz="4" w:space="0" w:color="auto"/>
            </w:tcBorders>
            <w:shd w:val="clear" w:color="auto" w:fill="auto"/>
            <w:noWrap/>
            <w:vAlign w:val="center"/>
            <w:hideMark/>
          </w:tcPr>
          <w:p w14:paraId="465CEA1C"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-1,202</w:t>
            </w:r>
          </w:p>
        </w:tc>
        <w:tc>
          <w:tcPr>
            <w:tcW w:w="834" w:type="pct"/>
            <w:tcBorders>
              <w:top w:val="nil"/>
              <w:left w:val="nil"/>
              <w:bottom w:val="single" w:sz="4" w:space="0" w:color="auto"/>
              <w:right w:val="single" w:sz="4" w:space="0" w:color="auto"/>
            </w:tcBorders>
            <w:shd w:val="clear" w:color="auto" w:fill="auto"/>
            <w:noWrap/>
            <w:vAlign w:val="center"/>
            <w:hideMark/>
          </w:tcPr>
          <w:p w14:paraId="758E0F6E"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0,063</w:t>
            </w:r>
          </w:p>
        </w:tc>
        <w:tc>
          <w:tcPr>
            <w:tcW w:w="708" w:type="pct"/>
            <w:tcBorders>
              <w:top w:val="nil"/>
              <w:left w:val="nil"/>
              <w:bottom w:val="single" w:sz="4" w:space="0" w:color="auto"/>
              <w:right w:val="single" w:sz="4" w:space="0" w:color="auto"/>
            </w:tcBorders>
            <w:shd w:val="clear" w:color="auto" w:fill="auto"/>
            <w:vAlign w:val="center"/>
            <w:hideMark/>
          </w:tcPr>
          <w:p w14:paraId="65F2F84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0,052</w:t>
            </w:r>
          </w:p>
        </w:tc>
        <w:tc>
          <w:tcPr>
            <w:tcW w:w="833" w:type="pct"/>
            <w:tcBorders>
              <w:top w:val="nil"/>
              <w:left w:val="nil"/>
              <w:bottom w:val="single" w:sz="4" w:space="0" w:color="auto"/>
              <w:right w:val="single" w:sz="4" w:space="0" w:color="auto"/>
            </w:tcBorders>
            <w:shd w:val="clear" w:color="auto" w:fill="auto"/>
            <w:noWrap/>
            <w:vAlign w:val="center"/>
            <w:hideMark/>
          </w:tcPr>
          <w:p w14:paraId="352CA03A"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0,885</w:t>
            </w:r>
          </w:p>
        </w:tc>
      </w:tr>
      <w:tr w:rsidR="00113F33" w:rsidRPr="00113F33" w14:paraId="632863FB"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37075A0D"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Reino Unido</w:t>
            </w:r>
          </w:p>
        </w:tc>
        <w:tc>
          <w:tcPr>
            <w:tcW w:w="834" w:type="pct"/>
            <w:tcBorders>
              <w:top w:val="nil"/>
              <w:left w:val="nil"/>
              <w:bottom w:val="single" w:sz="4" w:space="0" w:color="auto"/>
              <w:right w:val="single" w:sz="4" w:space="0" w:color="auto"/>
            </w:tcBorders>
            <w:shd w:val="clear" w:color="auto" w:fill="auto"/>
            <w:noWrap/>
            <w:vAlign w:val="center"/>
            <w:hideMark/>
          </w:tcPr>
          <w:p w14:paraId="30166935"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0,012</w:t>
            </w:r>
          </w:p>
        </w:tc>
        <w:tc>
          <w:tcPr>
            <w:tcW w:w="834" w:type="pct"/>
            <w:tcBorders>
              <w:top w:val="nil"/>
              <w:left w:val="nil"/>
              <w:bottom w:val="single" w:sz="4" w:space="0" w:color="auto"/>
              <w:right w:val="single" w:sz="4" w:space="0" w:color="auto"/>
            </w:tcBorders>
            <w:shd w:val="clear" w:color="auto" w:fill="auto"/>
            <w:noWrap/>
            <w:vAlign w:val="center"/>
            <w:hideMark/>
          </w:tcPr>
          <w:p w14:paraId="66CEF0D7"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-1,422</w:t>
            </w:r>
          </w:p>
        </w:tc>
        <w:tc>
          <w:tcPr>
            <w:tcW w:w="834" w:type="pct"/>
            <w:tcBorders>
              <w:top w:val="nil"/>
              <w:left w:val="nil"/>
              <w:bottom w:val="single" w:sz="4" w:space="0" w:color="auto"/>
              <w:right w:val="single" w:sz="4" w:space="0" w:color="auto"/>
            </w:tcBorders>
            <w:shd w:val="clear" w:color="auto" w:fill="auto"/>
            <w:noWrap/>
            <w:vAlign w:val="center"/>
            <w:hideMark/>
          </w:tcPr>
          <w:p w14:paraId="2BFA591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0,046</w:t>
            </w:r>
          </w:p>
        </w:tc>
        <w:tc>
          <w:tcPr>
            <w:tcW w:w="708" w:type="pct"/>
            <w:tcBorders>
              <w:top w:val="nil"/>
              <w:left w:val="nil"/>
              <w:bottom w:val="single" w:sz="4" w:space="0" w:color="auto"/>
              <w:right w:val="single" w:sz="4" w:space="0" w:color="auto"/>
            </w:tcBorders>
            <w:shd w:val="clear" w:color="auto" w:fill="auto"/>
            <w:vAlign w:val="center"/>
            <w:hideMark/>
          </w:tcPr>
          <w:p w14:paraId="3E38EAA0"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0,026</w:t>
            </w:r>
          </w:p>
        </w:tc>
        <w:tc>
          <w:tcPr>
            <w:tcW w:w="833" w:type="pct"/>
            <w:tcBorders>
              <w:top w:val="nil"/>
              <w:left w:val="nil"/>
              <w:bottom w:val="single" w:sz="4" w:space="0" w:color="auto"/>
              <w:right w:val="single" w:sz="4" w:space="0" w:color="auto"/>
            </w:tcBorders>
            <w:shd w:val="clear" w:color="auto" w:fill="auto"/>
            <w:noWrap/>
            <w:vAlign w:val="center"/>
            <w:hideMark/>
          </w:tcPr>
          <w:p w14:paraId="288DCE19"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0,928</w:t>
            </w:r>
          </w:p>
        </w:tc>
      </w:tr>
      <w:tr w:rsidR="00113F33" w:rsidRPr="00113F33" w14:paraId="57D1E5E2" w14:textId="77777777" w:rsidTr="00113F33">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1F90784A" w14:textId="77777777" w:rsidR="00113F33" w:rsidRPr="00113F33" w:rsidRDefault="00113F33" w:rsidP="006A0594">
            <w:pPr>
              <w:rPr>
                <w:rFonts w:eastAsia="Times New Roman"/>
                <w:color w:val="000000"/>
                <w:sz w:val="20"/>
                <w:szCs w:val="20"/>
              </w:rPr>
            </w:pPr>
            <w:r w:rsidRPr="00113F33">
              <w:rPr>
                <w:rFonts w:eastAsia="Times New Roman"/>
                <w:color w:val="000000"/>
                <w:sz w:val="20"/>
                <w:szCs w:val="20"/>
              </w:rPr>
              <w:t>Suecia</w:t>
            </w:r>
          </w:p>
        </w:tc>
        <w:tc>
          <w:tcPr>
            <w:tcW w:w="834" w:type="pct"/>
            <w:tcBorders>
              <w:top w:val="nil"/>
              <w:left w:val="nil"/>
              <w:bottom w:val="single" w:sz="4" w:space="0" w:color="auto"/>
              <w:right w:val="single" w:sz="4" w:space="0" w:color="auto"/>
            </w:tcBorders>
            <w:shd w:val="clear" w:color="auto" w:fill="auto"/>
            <w:noWrap/>
            <w:vAlign w:val="center"/>
            <w:hideMark/>
          </w:tcPr>
          <w:p w14:paraId="04637C23"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0,256</w:t>
            </w:r>
          </w:p>
        </w:tc>
        <w:tc>
          <w:tcPr>
            <w:tcW w:w="834" w:type="pct"/>
            <w:tcBorders>
              <w:top w:val="nil"/>
              <w:left w:val="nil"/>
              <w:bottom w:val="single" w:sz="4" w:space="0" w:color="auto"/>
              <w:right w:val="single" w:sz="4" w:space="0" w:color="auto"/>
            </w:tcBorders>
            <w:shd w:val="clear" w:color="auto" w:fill="auto"/>
            <w:noWrap/>
            <w:vAlign w:val="center"/>
            <w:hideMark/>
          </w:tcPr>
          <w:p w14:paraId="779E089A"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1,036</w:t>
            </w:r>
          </w:p>
        </w:tc>
        <w:tc>
          <w:tcPr>
            <w:tcW w:w="834" w:type="pct"/>
            <w:tcBorders>
              <w:top w:val="nil"/>
              <w:left w:val="nil"/>
              <w:bottom w:val="single" w:sz="4" w:space="0" w:color="auto"/>
              <w:right w:val="single" w:sz="4" w:space="0" w:color="auto"/>
            </w:tcBorders>
            <w:shd w:val="clear" w:color="auto" w:fill="auto"/>
            <w:noWrap/>
            <w:vAlign w:val="center"/>
            <w:hideMark/>
          </w:tcPr>
          <w:p w14:paraId="04BCFD80" w14:textId="77777777" w:rsidR="00113F33" w:rsidRPr="00113F33" w:rsidRDefault="00113F33" w:rsidP="006A0594">
            <w:pPr>
              <w:jc w:val="center"/>
              <w:rPr>
                <w:rFonts w:eastAsia="Times New Roman"/>
                <w:b/>
                <w:bCs/>
                <w:color w:val="000000"/>
                <w:sz w:val="20"/>
                <w:szCs w:val="20"/>
              </w:rPr>
            </w:pPr>
            <w:r w:rsidRPr="00113F33">
              <w:rPr>
                <w:rFonts w:eastAsia="Times New Roman"/>
                <w:b/>
                <w:bCs/>
                <w:color w:val="000000"/>
                <w:sz w:val="20"/>
                <w:szCs w:val="20"/>
              </w:rPr>
              <w:t>0,921</w:t>
            </w:r>
          </w:p>
        </w:tc>
        <w:tc>
          <w:tcPr>
            <w:tcW w:w="708" w:type="pct"/>
            <w:tcBorders>
              <w:top w:val="nil"/>
              <w:left w:val="nil"/>
              <w:bottom w:val="single" w:sz="4" w:space="0" w:color="auto"/>
              <w:right w:val="single" w:sz="4" w:space="0" w:color="auto"/>
            </w:tcBorders>
            <w:shd w:val="clear" w:color="auto" w:fill="auto"/>
            <w:vAlign w:val="center"/>
            <w:hideMark/>
          </w:tcPr>
          <w:p w14:paraId="6155CD39"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0,038</w:t>
            </w:r>
          </w:p>
        </w:tc>
        <w:tc>
          <w:tcPr>
            <w:tcW w:w="833" w:type="pct"/>
            <w:tcBorders>
              <w:top w:val="nil"/>
              <w:left w:val="nil"/>
              <w:bottom w:val="single" w:sz="4" w:space="0" w:color="auto"/>
              <w:right w:val="single" w:sz="4" w:space="0" w:color="auto"/>
            </w:tcBorders>
            <w:shd w:val="clear" w:color="auto" w:fill="auto"/>
            <w:noWrap/>
            <w:vAlign w:val="center"/>
            <w:hideMark/>
          </w:tcPr>
          <w:p w14:paraId="33AEE69D" w14:textId="77777777" w:rsidR="00113F33" w:rsidRPr="00113F33" w:rsidRDefault="00113F33" w:rsidP="006A0594">
            <w:pPr>
              <w:jc w:val="center"/>
              <w:rPr>
                <w:rFonts w:eastAsia="Times New Roman"/>
                <w:color w:val="000000"/>
                <w:sz w:val="20"/>
                <w:szCs w:val="20"/>
              </w:rPr>
            </w:pPr>
            <w:r w:rsidRPr="00113F33">
              <w:rPr>
                <w:rFonts w:eastAsia="Times New Roman"/>
                <w:color w:val="000000"/>
                <w:sz w:val="20"/>
                <w:szCs w:val="20"/>
              </w:rPr>
              <w:t>0,042</w:t>
            </w:r>
          </w:p>
        </w:tc>
      </w:tr>
    </w:tbl>
    <w:p w14:paraId="2A6CE891" w14:textId="77777777" w:rsidR="00113F33" w:rsidRPr="00113F33" w:rsidRDefault="00113F33" w:rsidP="00113F33">
      <w:pPr>
        <w:jc w:val="both"/>
        <w:rPr>
          <w:sz w:val="20"/>
          <w:szCs w:val="20"/>
        </w:rPr>
      </w:pPr>
      <w:r w:rsidRPr="00113F33">
        <w:rPr>
          <w:sz w:val="20"/>
          <w:szCs w:val="20"/>
        </w:rPr>
        <w:t xml:space="preserve">Notas: (a) Los valores de </w:t>
      </w:r>
      <w:r w:rsidRPr="00113F33">
        <w:rPr>
          <w:i/>
          <w:sz w:val="20"/>
          <w:szCs w:val="20"/>
        </w:rPr>
        <w:t>GS</w:t>
      </w:r>
      <w:r w:rsidRPr="00113F33">
        <w:rPr>
          <w:sz w:val="20"/>
          <w:szCs w:val="20"/>
        </w:rPr>
        <w:t xml:space="preserve"> y la medida de eficiencia vienen estandarizados.</w:t>
      </w:r>
    </w:p>
    <w:p w14:paraId="2F22D7DF" w14:textId="77777777" w:rsidR="00113F33" w:rsidRPr="00113F33" w:rsidRDefault="00113F33" w:rsidP="00113F33">
      <w:pPr>
        <w:tabs>
          <w:tab w:val="left" w:pos="1134"/>
        </w:tabs>
        <w:ind w:left="1134" w:hanging="425"/>
        <w:jc w:val="both"/>
        <w:rPr>
          <w:sz w:val="20"/>
          <w:szCs w:val="20"/>
        </w:rPr>
      </w:pPr>
      <w:r w:rsidRPr="00113F33">
        <w:rPr>
          <w:sz w:val="20"/>
          <w:szCs w:val="20"/>
        </w:rPr>
        <w:t xml:space="preserve">(b) La media y la desviación estándar de </w:t>
      </w:r>
      <w:r w:rsidRPr="00113F33">
        <w:rPr>
          <w:i/>
          <w:sz w:val="20"/>
          <w:szCs w:val="20"/>
        </w:rPr>
        <w:t>GS</w:t>
      </w:r>
      <w:r w:rsidRPr="00113F33">
        <w:rPr>
          <w:sz w:val="20"/>
          <w:szCs w:val="20"/>
        </w:rPr>
        <w:t xml:space="preserve"> son </w:t>
      </w:r>
      <w:r w:rsidRPr="00113F33">
        <w:rPr>
          <w:rFonts w:eastAsia="Times New Roman"/>
          <w:sz w:val="20"/>
          <w:szCs w:val="20"/>
        </w:rPr>
        <w:t xml:space="preserve">28,400 </w:t>
      </w:r>
      <w:r w:rsidRPr="00113F33">
        <w:rPr>
          <w:sz w:val="20"/>
          <w:szCs w:val="20"/>
        </w:rPr>
        <w:t xml:space="preserve">y 3,279 respectivamente. Las del índice de eficiencia en </w:t>
      </w:r>
      <w:r w:rsidRPr="00113F33">
        <w:rPr>
          <w:i/>
          <w:sz w:val="20"/>
          <w:szCs w:val="20"/>
        </w:rPr>
        <w:t>RAG</w:t>
      </w:r>
      <w:r w:rsidRPr="00113F33">
        <w:rPr>
          <w:sz w:val="20"/>
          <w:szCs w:val="20"/>
        </w:rPr>
        <w:t xml:space="preserve"> son 0,971 y 0,028.</w:t>
      </w:r>
    </w:p>
    <w:p w14:paraId="66C04DA4" w14:textId="5145F08C" w:rsidR="00113F33" w:rsidRPr="00113F33" w:rsidRDefault="00113F33" w:rsidP="00113F33">
      <w:pPr>
        <w:spacing w:after="240"/>
        <w:jc w:val="center"/>
        <w:rPr>
          <w:sz w:val="20"/>
          <w:szCs w:val="20"/>
        </w:rPr>
      </w:pPr>
      <w:r w:rsidRPr="00113F33">
        <w:rPr>
          <w:sz w:val="20"/>
          <w:szCs w:val="20"/>
        </w:rPr>
        <w:t>Fuente: Elaboración propia a partir de datos de Eurostat, 2018.</w:t>
      </w:r>
    </w:p>
    <w:p w14:paraId="7A6F7F4A" w14:textId="77777777" w:rsidR="00113F33" w:rsidRDefault="00113F33" w:rsidP="00113F33">
      <w:pPr>
        <w:tabs>
          <w:tab w:val="left" w:pos="1134"/>
        </w:tabs>
        <w:spacing w:after="240"/>
        <w:ind w:left="1134" w:hanging="425"/>
        <w:jc w:val="both"/>
        <w:rPr>
          <w:sz w:val="24"/>
          <w:szCs w:val="24"/>
        </w:rPr>
      </w:pPr>
    </w:p>
    <w:p w14:paraId="00BFE3D8" w14:textId="34203BC7" w:rsidR="00113F33" w:rsidRPr="00113F33" w:rsidRDefault="00113F33" w:rsidP="00113F33">
      <w:pPr>
        <w:spacing w:after="240"/>
        <w:jc w:val="center"/>
        <w:rPr>
          <w:b/>
          <w:sz w:val="20"/>
          <w:szCs w:val="20"/>
        </w:rPr>
      </w:pPr>
      <w:r w:rsidRPr="00113F33">
        <w:rPr>
          <w:b/>
          <w:sz w:val="20"/>
          <w:szCs w:val="20"/>
        </w:rPr>
        <w:t>Tabla 10. Centroides de los clústeres identificados en la Tabla 9</w:t>
      </w:r>
      <w:r>
        <w:rPr>
          <w:b/>
          <w:sz w:val="20"/>
          <w:szCs w:val="20"/>
        </w:rPr>
        <w:t>.</w:t>
      </w:r>
    </w:p>
    <w:tbl>
      <w:tblPr>
        <w:tblW w:w="5000" w:type="pct"/>
        <w:jc w:val="center"/>
        <w:tblCellMar>
          <w:left w:w="70" w:type="dxa"/>
          <w:right w:w="70" w:type="dxa"/>
        </w:tblCellMar>
        <w:tblLook w:val="04A0" w:firstRow="1" w:lastRow="0" w:firstColumn="1" w:lastColumn="0" w:noHBand="0" w:noVBand="1"/>
      </w:tblPr>
      <w:tblGrid>
        <w:gridCol w:w="3248"/>
        <w:gridCol w:w="2881"/>
        <w:gridCol w:w="2881"/>
      </w:tblGrid>
      <w:tr w:rsidR="00113F33" w:rsidRPr="00113F33" w14:paraId="5820FB9E"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485A5" w14:textId="77777777" w:rsidR="00113F33" w:rsidRPr="00113F33" w:rsidRDefault="00113F33" w:rsidP="006A0594">
            <w:pPr>
              <w:jc w:val="center"/>
              <w:rPr>
                <w:rFonts w:eastAsia="Times New Roman"/>
                <w:sz w:val="20"/>
                <w:szCs w:val="20"/>
              </w:rPr>
            </w:pP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48D80347" w14:textId="77777777" w:rsidR="00113F33" w:rsidRPr="00113F33" w:rsidRDefault="00113F33" w:rsidP="006A0594">
            <w:pPr>
              <w:jc w:val="center"/>
              <w:rPr>
                <w:rFonts w:eastAsia="Times New Roman"/>
                <w:i/>
                <w:sz w:val="20"/>
                <w:szCs w:val="20"/>
              </w:rPr>
            </w:pPr>
            <w:r w:rsidRPr="00113F33">
              <w:rPr>
                <w:rFonts w:eastAsia="Times New Roman"/>
                <w:i/>
                <w:sz w:val="20"/>
                <w:szCs w:val="20"/>
              </w:rPr>
              <w:t>GS</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22029529" w14:textId="77777777" w:rsidR="00113F33" w:rsidRPr="00113F33" w:rsidRDefault="00113F33" w:rsidP="006A0594">
            <w:pPr>
              <w:jc w:val="center"/>
              <w:rPr>
                <w:rFonts w:eastAsia="Times New Roman"/>
                <w:sz w:val="20"/>
                <w:szCs w:val="20"/>
              </w:rPr>
            </w:pPr>
            <w:r w:rsidRPr="00113F33">
              <w:rPr>
                <w:rFonts w:eastAsia="Times New Roman"/>
                <w:sz w:val="20"/>
                <w:szCs w:val="20"/>
              </w:rPr>
              <w:t xml:space="preserve">Eficiencia en </w:t>
            </w:r>
            <w:r w:rsidRPr="00113F33">
              <w:rPr>
                <w:rFonts w:eastAsia="Times New Roman"/>
                <w:i/>
                <w:sz w:val="20"/>
                <w:szCs w:val="20"/>
              </w:rPr>
              <w:t>RAG</w:t>
            </w:r>
          </w:p>
        </w:tc>
      </w:tr>
      <w:tr w:rsidR="00113F33" w:rsidRPr="00113F33" w14:paraId="61CE5B53"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0461BF4F" w14:textId="77777777" w:rsidR="00113F33" w:rsidRPr="00113F33" w:rsidRDefault="00113F33" w:rsidP="006A0594">
            <w:pPr>
              <w:jc w:val="center"/>
              <w:rPr>
                <w:rFonts w:eastAsia="Times New Roman"/>
                <w:sz w:val="20"/>
                <w:szCs w:val="20"/>
              </w:rPr>
            </w:pPr>
            <w:r w:rsidRPr="00113F33">
              <w:rPr>
                <w:rFonts w:eastAsia="Times New Roman"/>
                <w:sz w:val="20"/>
                <w:szCs w:val="20"/>
              </w:rPr>
              <w:t>Centroide del clúster 1</w:t>
            </w:r>
          </w:p>
        </w:tc>
        <w:tc>
          <w:tcPr>
            <w:tcW w:w="1599" w:type="pct"/>
            <w:tcBorders>
              <w:top w:val="nil"/>
              <w:left w:val="nil"/>
              <w:bottom w:val="single" w:sz="4" w:space="0" w:color="auto"/>
              <w:right w:val="single" w:sz="4" w:space="0" w:color="auto"/>
            </w:tcBorders>
            <w:shd w:val="clear" w:color="auto" w:fill="auto"/>
            <w:noWrap/>
            <w:vAlign w:val="bottom"/>
          </w:tcPr>
          <w:p w14:paraId="34F4E42F" w14:textId="77777777" w:rsidR="00113F33" w:rsidRPr="00113F33" w:rsidRDefault="00113F33" w:rsidP="006A0594">
            <w:pPr>
              <w:jc w:val="center"/>
              <w:rPr>
                <w:rFonts w:eastAsia="Times New Roman"/>
                <w:sz w:val="20"/>
                <w:szCs w:val="20"/>
              </w:rPr>
            </w:pPr>
            <w:r w:rsidRPr="00113F33">
              <w:rPr>
                <w:rFonts w:eastAsia="Times New Roman"/>
                <w:sz w:val="20"/>
                <w:szCs w:val="20"/>
              </w:rPr>
              <w:t>0,935</w:t>
            </w:r>
          </w:p>
        </w:tc>
        <w:tc>
          <w:tcPr>
            <w:tcW w:w="1599" w:type="pct"/>
            <w:tcBorders>
              <w:top w:val="nil"/>
              <w:left w:val="nil"/>
              <w:bottom w:val="single" w:sz="4" w:space="0" w:color="auto"/>
              <w:right w:val="single" w:sz="4" w:space="0" w:color="auto"/>
            </w:tcBorders>
            <w:shd w:val="clear" w:color="auto" w:fill="auto"/>
            <w:noWrap/>
            <w:vAlign w:val="bottom"/>
          </w:tcPr>
          <w:p w14:paraId="31E2B88A" w14:textId="77777777" w:rsidR="00113F33" w:rsidRPr="00113F33" w:rsidRDefault="00113F33" w:rsidP="006A0594">
            <w:pPr>
              <w:jc w:val="center"/>
              <w:rPr>
                <w:rFonts w:eastAsia="Times New Roman"/>
                <w:sz w:val="20"/>
                <w:szCs w:val="20"/>
              </w:rPr>
            </w:pPr>
            <w:r w:rsidRPr="00113F33">
              <w:rPr>
                <w:rFonts w:eastAsia="Times New Roman"/>
                <w:sz w:val="20"/>
                <w:szCs w:val="20"/>
              </w:rPr>
              <w:t>0,900</w:t>
            </w:r>
          </w:p>
        </w:tc>
      </w:tr>
      <w:tr w:rsidR="00113F33" w:rsidRPr="00113F33" w14:paraId="3B19AF1B"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44926D26" w14:textId="77777777" w:rsidR="00113F33" w:rsidRPr="00113F33" w:rsidRDefault="00113F33" w:rsidP="006A0594">
            <w:pPr>
              <w:jc w:val="center"/>
              <w:rPr>
                <w:rFonts w:eastAsia="Times New Roman"/>
                <w:sz w:val="20"/>
                <w:szCs w:val="20"/>
              </w:rPr>
            </w:pPr>
            <w:r w:rsidRPr="00113F33">
              <w:rPr>
                <w:rFonts w:eastAsia="Times New Roman"/>
                <w:sz w:val="20"/>
                <w:szCs w:val="20"/>
              </w:rPr>
              <w:t>Centroide del clúster 2</w:t>
            </w:r>
          </w:p>
        </w:tc>
        <w:tc>
          <w:tcPr>
            <w:tcW w:w="1599" w:type="pct"/>
            <w:tcBorders>
              <w:top w:val="nil"/>
              <w:left w:val="nil"/>
              <w:bottom w:val="single" w:sz="4" w:space="0" w:color="auto"/>
              <w:right w:val="single" w:sz="4" w:space="0" w:color="auto"/>
            </w:tcBorders>
            <w:shd w:val="clear" w:color="auto" w:fill="auto"/>
            <w:noWrap/>
            <w:vAlign w:val="bottom"/>
          </w:tcPr>
          <w:p w14:paraId="40721728" w14:textId="77777777" w:rsidR="00113F33" w:rsidRPr="00113F33" w:rsidRDefault="00113F33" w:rsidP="006A0594">
            <w:pPr>
              <w:jc w:val="center"/>
              <w:rPr>
                <w:rFonts w:eastAsia="Times New Roman"/>
                <w:sz w:val="20"/>
                <w:szCs w:val="20"/>
              </w:rPr>
            </w:pPr>
            <w:r w:rsidRPr="00113F33">
              <w:rPr>
                <w:rFonts w:eastAsia="Times New Roman"/>
                <w:sz w:val="20"/>
                <w:szCs w:val="20"/>
              </w:rPr>
              <w:t>-1,807</w:t>
            </w:r>
          </w:p>
        </w:tc>
        <w:tc>
          <w:tcPr>
            <w:tcW w:w="1599" w:type="pct"/>
            <w:tcBorders>
              <w:top w:val="nil"/>
              <w:left w:val="nil"/>
              <w:bottom w:val="single" w:sz="4" w:space="0" w:color="auto"/>
              <w:right w:val="single" w:sz="4" w:space="0" w:color="auto"/>
            </w:tcBorders>
            <w:shd w:val="clear" w:color="auto" w:fill="auto"/>
            <w:noWrap/>
            <w:vAlign w:val="bottom"/>
          </w:tcPr>
          <w:p w14:paraId="73EF36E4" w14:textId="77777777" w:rsidR="00113F33" w:rsidRPr="00113F33" w:rsidRDefault="00113F33" w:rsidP="006A0594">
            <w:pPr>
              <w:jc w:val="center"/>
              <w:rPr>
                <w:rFonts w:eastAsia="Times New Roman"/>
                <w:sz w:val="20"/>
                <w:szCs w:val="20"/>
              </w:rPr>
            </w:pPr>
            <w:r w:rsidRPr="00113F33">
              <w:rPr>
                <w:rFonts w:eastAsia="Times New Roman"/>
                <w:sz w:val="20"/>
                <w:szCs w:val="20"/>
              </w:rPr>
              <w:t>0,920</w:t>
            </w:r>
          </w:p>
        </w:tc>
      </w:tr>
      <w:tr w:rsidR="00113F33" w:rsidRPr="00113F33" w14:paraId="332CE0C3"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7666" w14:textId="77777777" w:rsidR="00113F33" w:rsidRPr="00113F33" w:rsidRDefault="00113F33" w:rsidP="006A0594">
            <w:pPr>
              <w:jc w:val="center"/>
              <w:rPr>
                <w:rFonts w:eastAsia="Times New Roman"/>
                <w:sz w:val="20"/>
                <w:szCs w:val="20"/>
              </w:rPr>
            </w:pPr>
            <w:r w:rsidRPr="00113F33">
              <w:rPr>
                <w:rFonts w:eastAsia="Times New Roman"/>
                <w:sz w:val="20"/>
                <w:szCs w:val="20"/>
              </w:rPr>
              <w:t>Centroide del clúster 3</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604E0DDB" w14:textId="77777777" w:rsidR="00113F33" w:rsidRPr="00113F33" w:rsidRDefault="00113F33" w:rsidP="006A0594">
            <w:pPr>
              <w:jc w:val="center"/>
              <w:rPr>
                <w:rFonts w:eastAsia="Times New Roman"/>
                <w:sz w:val="20"/>
                <w:szCs w:val="20"/>
              </w:rPr>
            </w:pPr>
            <w:r w:rsidRPr="00113F33">
              <w:rPr>
                <w:rFonts w:eastAsia="Times New Roman"/>
                <w:sz w:val="20"/>
                <w:szCs w:val="20"/>
              </w:rPr>
              <w:t>-0,015</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2D766C7E" w14:textId="77777777" w:rsidR="00113F33" w:rsidRPr="00113F33" w:rsidRDefault="00113F33" w:rsidP="006A0594">
            <w:pPr>
              <w:jc w:val="center"/>
              <w:rPr>
                <w:rFonts w:eastAsia="Times New Roman"/>
                <w:sz w:val="20"/>
                <w:szCs w:val="20"/>
              </w:rPr>
            </w:pPr>
            <w:r w:rsidRPr="00113F33">
              <w:rPr>
                <w:rFonts w:eastAsia="Times New Roman"/>
                <w:sz w:val="20"/>
                <w:szCs w:val="20"/>
              </w:rPr>
              <w:t>-0,762</w:t>
            </w:r>
          </w:p>
        </w:tc>
      </w:tr>
    </w:tbl>
    <w:p w14:paraId="5BB75B26" w14:textId="77777777" w:rsidR="00113F33" w:rsidRPr="00113F33" w:rsidRDefault="00113F33" w:rsidP="00113F33">
      <w:pPr>
        <w:jc w:val="both"/>
        <w:rPr>
          <w:sz w:val="20"/>
          <w:szCs w:val="20"/>
        </w:rPr>
      </w:pPr>
      <w:r w:rsidRPr="00113F33">
        <w:rPr>
          <w:sz w:val="20"/>
          <w:szCs w:val="20"/>
        </w:rPr>
        <w:t xml:space="preserve">Notas: (a) Los valores de </w:t>
      </w:r>
      <w:r w:rsidRPr="00113F33">
        <w:rPr>
          <w:i/>
          <w:sz w:val="20"/>
          <w:szCs w:val="20"/>
        </w:rPr>
        <w:t>GS</w:t>
      </w:r>
      <w:r w:rsidRPr="00113F33">
        <w:rPr>
          <w:sz w:val="20"/>
          <w:szCs w:val="20"/>
        </w:rPr>
        <w:t xml:space="preserve"> y la medida de eficiencia vienen estandarizados.</w:t>
      </w:r>
    </w:p>
    <w:p w14:paraId="2430B77E" w14:textId="77777777" w:rsidR="00113F33" w:rsidRPr="00113F33" w:rsidRDefault="00113F33" w:rsidP="00113F33">
      <w:pPr>
        <w:tabs>
          <w:tab w:val="left" w:pos="1134"/>
        </w:tabs>
        <w:ind w:left="567"/>
        <w:jc w:val="both"/>
        <w:rPr>
          <w:sz w:val="20"/>
          <w:szCs w:val="20"/>
        </w:rPr>
      </w:pPr>
      <w:r w:rsidRPr="00113F33">
        <w:rPr>
          <w:sz w:val="20"/>
          <w:szCs w:val="20"/>
        </w:rPr>
        <w:t xml:space="preserve">(b) La media y la desviación estándar de </w:t>
      </w:r>
      <w:r w:rsidRPr="00113F33">
        <w:rPr>
          <w:i/>
          <w:sz w:val="20"/>
          <w:szCs w:val="20"/>
        </w:rPr>
        <w:t>GS</w:t>
      </w:r>
      <w:r w:rsidRPr="00113F33">
        <w:rPr>
          <w:sz w:val="20"/>
          <w:szCs w:val="20"/>
        </w:rPr>
        <w:t xml:space="preserve"> son </w:t>
      </w:r>
      <w:r w:rsidRPr="00113F33">
        <w:rPr>
          <w:rFonts w:eastAsia="Times New Roman"/>
          <w:sz w:val="20"/>
          <w:szCs w:val="20"/>
        </w:rPr>
        <w:t xml:space="preserve">28,400 </w:t>
      </w:r>
      <w:r w:rsidRPr="00113F33">
        <w:rPr>
          <w:sz w:val="20"/>
          <w:szCs w:val="20"/>
        </w:rPr>
        <w:t xml:space="preserve">y 3,279 respectivamente. Las del índice de eficiencia en </w:t>
      </w:r>
      <w:r w:rsidRPr="00113F33">
        <w:rPr>
          <w:i/>
          <w:sz w:val="20"/>
          <w:szCs w:val="20"/>
        </w:rPr>
        <w:t>RAG</w:t>
      </w:r>
      <w:r w:rsidRPr="00113F33">
        <w:rPr>
          <w:sz w:val="20"/>
          <w:szCs w:val="20"/>
        </w:rPr>
        <w:t xml:space="preserve"> son 0,971 y 0,028.</w:t>
      </w:r>
    </w:p>
    <w:p w14:paraId="7BFC2BD2" w14:textId="330073E7" w:rsidR="00113F33" w:rsidRPr="00113F33" w:rsidRDefault="00113F33" w:rsidP="00113F33">
      <w:pPr>
        <w:tabs>
          <w:tab w:val="left" w:pos="1134"/>
        </w:tabs>
        <w:jc w:val="center"/>
        <w:rPr>
          <w:sz w:val="20"/>
          <w:szCs w:val="20"/>
        </w:rPr>
      </w:pPr>
      <w:r w:rsidRPr="00113F33">
        <w:rPr>
          <w:sz w:val="20"/>
          <w:szCs w:val="20"/>
        </w:rPr>
        <w:t>Fuente: Elaboración propia a partir de datos de Eurostat, 2018.</w:t>
      </w:r>
    </w:p>
    <w:p w14:paraId="142A0955" w14:textId="77777777" w:rsidR="00113F33" w:rsidRPr="00015DAC" w:rsidRDefault="00113F33" w:rsidP="003434F6">
      <w:pPr>
        <w:spacing w:after="240"/>
        <w:jc w:val="both"/>
        <w:rPr>
          <w:sz w:val="24"/>
          <w:szCs w:val="24"/>
        </w:rPr>
      </w:pPr>
    </w:p>
    <w:p w14:paraId="2B850208" w14:textId="77777777" w:rsidR="00BF0600" w:rsidRPr="00BF0600" w:rsidRDefault="00BF0600" w:rsidP="00BF0600">
      <w:pPr>
        <w:spacing w:after="240"/>
        <w:ind w:left="567"/>
        <w:jc w:val="both"/>
        <w:rPr>
          <w:i/>
        </w:rPr>
      </w:pPr>
      <w:r w:rsidRPr="00BF0600">
        <w:t xml:space="preserve">4.2.3. </w:t>
      </w:r>
      <w:r w:rsidRPr="00BF0600">
        <w:rPr>
          <w:u w:val="single"/>
        </w:rPr>
        <w:t>Patrones de eficiencia del GS en la reducción de la pobreza y la desigualdad considerados conjuntamente</w:t>
      </w:r>
    </w:p>
    <w:p w14:paraId="5DB8844E" w14:textId="77777777" w:rsidR="00BF0600" w:rsidRPr="00BF0600" w:rsidRDefault="00BF0600" w:rsidP="00BF0600">
      <w:pPr>
        <w:spacing w:after="240"/>
        <w:jc w:val="both"/>
      </w:pPr>
      <w:r w:rsidRPr="00BF0600">
        <w:t xml:space="preserve">La Tabla 11 recoge los valores estandarizados de </w:t>
      </w:r>
      <w:r w:rsidRPr="00BF0600">
        <w:rPr>
          <w:i/>
        </w:rPr>
        <w:t>GS</w:t>
      </w:r>
      <w:r w:rsidRPr="00BF0600">
        <w:t xml:space="preserve"> y de eficiencia conjunta en </w:t>
      </w:r>
      <w:r w:rsidRPr="00BF0600">
        <w:rPr>
          <w:i/>
        </w:rPr>
        <w:t>RAP</w:t>
      </w:r>
      <w:r w:rsidRPr="00BF0600">
        <w:t xml:space="preserve"> y </w:t>
      </w:r>
      <w:r w:rsidRPr="00BF0600">
        <w:rPr>
          <w:i/>
        </w:rPr>
        <w:t>RAG</w:t>
      </w:r>
      <w:r w:rsidRPr="00BF0600">
        <w:t xml:space="preserve"> y los niveles de pertenencia de cada país a los tres clústeres. En la Tabla 12 se indican sus centroides. Vuelven a diferenciarse tres grupos, no obstante, los grupos se muestran de forma mucho más nítida, ya que no hay países que pertenezcan a más de un grupo con niveles de presunción superiores a 0,1. Los dos primeros clústeres se componen de países que son eficientes en la ejecución del </w:t>
      </w:r>
      <w:r w:rsidRPr="00BF0600">
        <w:rPr>
          <w:i/>
        </w:rPr>
        <w:t>GS</w:t>
      </w:r>
      <w:r w:rsidRPr="00BF0600">
        <w:t xml:space="preserve"> pero con un volumen muy diferente en el mismo. El primer grupo abarca todos los países con EB nórdico (Dinamarca, Suecia, Holanda y Finlandia) y continental (Austria, Bélgica, Francia y Alemania). El segundo grupo se conforma esencialmente de Luxemburgo e Irlanda, que se manifiestan eficientes según el análisis DEA, pero tienen un </w:t>
      </w:r>
      <w:r w:rsidRPr="00BF0600">
        <w:rPr>
          <w:i/>
        </w:rPr>
        <w:t>GS</w:t>
      </w:r>
      <w:r w:rsidRPr="00BF0600">
        <w:t xml:space="preserve"> notablemente por debajo del resto de países de la EU15. En el tercer grupo el </w:t>
      </w:r>
      <w:r w:rsidRPr="00BF0600">
        <w:rPr>
          <w:i/>
        </w:rPr>
        <w:t>GS</w:t>
      </w:r>
      <w:r w:rsidRPr="00BF0600">
        <w:t xml:space="preserve"> es muy heterogéneo y su promedio está por debajo, en cualquier caso, del de EB nórdico y continental. Se trata de países mediterráneos (Italia, España, Italia y Grecia), con el añadido del Reino Unido.</w:t>
      </w:r>
    </w:p>
    <w:p w14:paraId="31CDEF01" w14:textId="4C70AEF3" w:rsidR="00440419" w:rsidRDefault="00440419" w:rsidP="00C63E8D">
      <w:pPr>
        <w:spacing w:after="240"/>
        <w:jc w:val="both"/>
        <w:rPr>
          <w:rFonts w:eastAsia="Cambria"/>
          <w:sz w:val="20"/>
          <w:szCs w:val="24"/>
          <w:lang w:eastAsia="en-US"/>
        </w:rPr>
      </w:pPr>
    </w:p>
    <w:p w14:paraId="0521E277" w14:textId="77777777" w:rsidR="003434F6" w:rsidRDefault="003434F6">
      <w:pPr>
        <w:rPr>
          <w:b/>
          <w:sz w:val="20"/>
          <w:szCs w:val="20"/>
        </w:rPr>
      </w:pPr>
      <w:r>
        <w:rPr>
          <w:b/>
          <w:sz w:val="20"/>
          <w:szCs w:val="20"/>
        </w:rPr>
        <w:br w:type="page"/>
      </w:r>
    </w:p>
    <w:p w14:paraId="756D1F40" w14:textId="65A4FA44" w:rsidR="000D5E04" w:rsidRPr="00702255" w:rsidRDefault="000D5E04" w:rsidP="00702255">
      <w:pPr>
        <w:jc w:val="center"/>
        <w:rPr>
          <w:b/>
          <w:i/>
          <w:sz w:val="20"/>
          <w:szCs w:val="20"/>
        </w:rPr>
      </w:pPr>
      <w:r w:rsidRPr="00702255">
        <w:rPr>
          <w:b/>
          <w:sz w:val="20"/>
          <w:szCs w:val="20"/>
        </w:rPr>
        <w:lastRenderedPageBreak/>
        <w:t xml:space="preserve">Tabla 11. Grupos del análisis cluster fuzzy k-means </w:t>
      </w:r>
      <w:r w:rsidRPr="00702255">
        <w:rPr>
          <w:b/>
          <w:i/>
          <w:sz w:val="20"/>
          <w:szCs w:val="20"/>
        </w:rPr>
        <w:t>GS-RAP y RAG</w:t>
      </w:r>
      <w:r w:rsidR="00702255" w:rsidRPr="00702255">
        <w:rPr>
          <w:b/>
          <w:i/>
          <w:sz w:val="20"/>
          <w:szCs w:val="20"/>
        </w:rPr>
        <w:t>.</w:t>
      </w:r>
    </w:p>
    <w:p w14:paraId="7ED11E3A" w14:textId="77777777" w:rsidR="00702255" w:rsidRPr="00702255" w:rsidRDefault="00702255" w:rsidP="000D5E04">
      <w:pPr>
        <w:jc w:val="both"/>
        <w:rPr>
          <w:sz w:val="20"/>
          <w:szCs w:val="20"/>
        </w:rPr>
      </w:pPr>
    </w:p>
    <w:tbl>
      <w:tblPr>
        <w:tblW w:w="5000" w:type="pct"/>
        <w:tblCellMar>
          <w:left w:w="70" w:type="dxa"/>
          <w:right w:w="70" w:type="dxa"/>
        </w:tblCellMar>
        <w:tblLook w:val="04A0" w:firstRow="1" w:lastRow="0" w:firstColumn="1" w:lastColumn="0" w:noHBand="0" w:noVBand="1"/>
      </w:tblPr>
      <w:tblGrid>
        <w:gridCol w:w="1727"/>
        <w:gridCol w:w="1502"/>
        <w:gridCol w:w="1502"/>
        <w:gridCol w:w="1502"/>
        <w:gridCol w:w="1276"/>
        <w:gridCol w:w="1501"/>
      </w:tblGrid>
      <w:tr w:rsidR="000D5E04" w:rsidRPr="003434F6" w14:paraId="68E5B7D9" w14:textId="77777777" w:rsidTr="006A0594">
        <w:trPr>
          <w:trHeight w:val="1020"/>
        </w:trPr>
        <w:tc>
          <w:tcPr>
            <w:tcW w:w="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4DA73" w14:textId="77777777" w:rsidR="000D5E04" w:rsidRPr="003434F6" w:rsidRDefault="000D5E04" w:rsidP="006A0594">
            <w:pPr>
              <w:rPr>
                <w:rFonts w:eastAsia="Times New Roman"/>
                <w:b/>
                <w:color w:val="000000"/>
                <w:sz w:val="20"/>
                <w:szCs w:val="20"/>
              </w:rPr>
            </w:pPr>
            <w:r w:rsidRPr="003434F6">
              <w:rPr>
                <w:rFonts w:eastAsia="Times New Roman"/>
                <w:b/>
                <w:color w:val="000000"/>
                <w:sz w:val="20"/>
                <w:szCs w:val="20"/>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304D65E4" w14:textId="77777777" w:rsidR="000D5E04" w:rsidRPr="003434F6" w:rsidRDefault="000D5E04" w:rsidP="006A0594">
            <w:pPr>
              <w:jc w:val="center"/>
              <w:rPr>
                <w:rFonts w:eastAsia="Times New Roman"/>
                <w:b/>
                <w:i/>
                <w:color w:val="000000"/>
                <w:sz w:val="20"/>
                <w:szCs w:val="20"/>
              </w:rPr>
            </w:pPr>
            <w:r w:rsidRPr="003434F6">
              <w:rPr>
                <w:rFonts w:eastAsia="Times New Roman"/>
                <w:b/>
                <w:i/>
                <w:color w:val="000000"/>
                <w:sz w:val="20"/>
                <w:szCs w:val="20"/>
              </w:rPr>
              <w:t>GS</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244A95E6" w14:textId="77777777" w:rsidR="000D5E04" w:rsidRPr="003434F6" w:rsidRDefault="000D5E04" w:rsidP="006A0594">
            <w:pPr>
              <w:jc w:val="center"/>
              <w:rPr>
                <w:rFonts w:eastAsia="Times New Roman"/>
                <w:b/>
                <w:color w:val="000000"/>
                <w:sz w:val="20"/>
                <w:szCs w:val="20"/>
              </w:rPr>
            </w:pPr>
            <w:r w:rsidRPr="003434F6">
              <w:rPr>
                <w:rFonts w:eastAsia="Times New Roman"/>
                <w:b/>
                <w:color w:val="000000"/>
                <w:sz w:val="20"/>
                <w:szCs w:val="20"/>
              </w:rPr>
              <w:t xml:space="preserve">Eficiencia conjunta en en </w:t>
            </w:r>
            <w:r w:rsidRPr="003434F6">
              <w:rPr>
                <w:rFonts w:eastAsia="Times New Roman"/>
                <w:b/>
                <w:i/>
                <w:color w:val="000000"/>
                <w:sz w:val="20"/>
                <w:szCs w:val="20"/>
              </w:rPr>
              <w:t>RAP</w:t>
            </w:r>
            <w:r w:rsidRPr="003434F6">
              <w:rPr>
                <w:rFonts w:eastAsia="Times New Roman"/>
                <w:b/>
                <w:color w:val="000000"/>
                <w:sz w:val="20"/>
                <w:szCs w:val="20"/>
              </w:rPr>
              <w:t xml:space="preserve"> y </w:t>
            </w:r>
            <w:r w:rsidRPr="003434F6">
              <w:rPr>
                <w:rFonts w:eastAsia="Times New Roman"/>
                <w:b/>
                <w:i/>
                <w:color w:val="000000"/>
                <w:sz w:val="20"/>
                <w:szCs w:val="20"/>
              </w:rPr>
              <w:t>RAG</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C6569A0" w14:textId="77777777" w:rsidR="000D5E04" w:rsidRPr="003434F6" w:rsidRDefault="000D5E04"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color w:val="000000"/>
                <w:sz w:val="20"/>
                <w:szCs w:val="20"/>
                <w:vertAlign w:val="subscript"/>
              </w:rPr>
              <w:t>1</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39920D7F" w14:textId="77777777" w:rsidR="000D5E04" w:rsidRPr="003434F6" w:rsidRDefault="000D5E04"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color w:val="000000"/>
                <w:sz w:val="20"/>
                <w:szCs w:val="20"/>
                <w:vertAlign w:val="subscript"/>
              </w:rPr>
              <w:t>2</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331C89F8" w14:textId="77777777" w:rsidR="000D5E04" w:rsidRPr="003434F6" w:rsidRDefault="000D5E04" w:rsidP="006A0594">
            <w:pPr>
              <w:jc w:val="center"/>
              <w:rPr>
                <w:rFonts w:eastAsia="Times New Roman"/>
                <w:b/>
                <w:i/>
                <w:iCs/>
                <w:color w:val="000000"/>
                <w:sz w:val="20"/>
                <w:szCs w:val="20"/>
              </w:rPr>
            </w:pPr>
            <w:r w:rsidRPr="003434F6">
              <w:rPr>
                <w:rFonts w:eastAsia="Times New Roman"/>
                <w:b/>
                <w:i/>
                <w:iCs/>
                <w:color w:val="000000"/>
                <w:sz w:val="20"/>
                <w:szCs w:val="20"/>
              </w:rPr>
              <w:t>u</w:t>
            </w:r>
            <w:r w:rsidRPr="003434F6">
              <w:rPr>
                <w:rFonts w:eastAsia="Times New Roman"/>
                <w:b/>
                <w:i/>
                <w:iCs/>
                <w:color w:val="000000"/>
                <w:sz w:val="20"/>
                <w:szCs w:val="20"/>
                <w:vertAlign w:val="subscript"/>
              </w:rPr>
              <w:t>i</w:t>
            </w:r>
            <w:r w:rsidRPr="003434F6">
              <w:rPr>
                <w:rFonts w:eastAsia="Times New Roman"/>
                <w:b/>
                <w:color w:val="000000"/>
                <w:sz w:val="20"/>
                <w:szCs w:val="20"/>
                <w:vertAlign w:val="subscript"/>
              </w:rPr>
              <w:t>3</w:t>
            </w:r>
          </w:p>
        </w:tc>
      </w:tr>
      <w:tr w:rsidR="000D5E04" w:rsidRPr="00702255" w14:paraId="4255678C"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4FCAE7FB"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Alemania</w:t>
            </w:r>
          </w:p>
        </w:tc>
        <w:tc>
          <w:tcPr>
            <w:tcW w:w="833" w:type="pct"/>
            <w:tcBorders>
              <w:top w:val="nil"/>
              <w:left w:val="nil"/>
              <w:bottom w:val="single" w:sz="4" w:space="0" w:color="auto"/>
              <w:right w:val="single" w:sz="4" w:space="0" w:color="auto"/>
            </w:tcBorders>
            <w:shd w:val="clear" w:color="auto" w:fill="auto"/>
            <w:noWrap/>
            <w:vAlign w:val="center"/>
            <w:hideMark/>
          </w:tcPr>
          <w:p w14:paraId="3632747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0,146</w:t>
            </w:r>
          </w:p>
        </w:tc>
        <w:tc>
          <w:tcPr>
            <w:tcW w:w="833" w:type="pct"/>
            <w:tcBorders>
              <w:top w:val="nil"/>
              <w:left w:val="nil"/>
              <w:bottom w:val="single" w:sz="4" w:space="0" w:color="auto"/>
              <w:right w:val="single" w:sz="4" w:space="0" w:color="auto"/>
            </w:tcBorders>
            <w:shd w:val="clear" w:color="auto" w:fill="auto"/>
            <w:noWrap/>
            <w:vAlign w:val="center"/>
            <w:hideMark/>
          </w:tcPr>
          <w:p w14:paraId="48AA720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0,245</w:t>
            </w:r>
          </w:p>
        </w:tc>
        <w:tc>
          <w:tcPr>
            <w:tcW w:w="833" w:type="pct"/>
            <w:tcBorders>
              <w:top w:val="nil"/>
              <w:left w:val="nil"/>
              <w:bottom w:val="single" w:sz="4" w:space="0" w:color="auto"/>
              <w:right w:val="single" w:sz="4" w:space="0" w:color="auto"/>
            </w:tcBorders>
            <w:shd w:val="clear" w:color="auto" w:fill="auto"/>
            <w:noWrap/>
            <w:vAlign w:val="center"/>
            <w:hideMark/>
          </w:tcPr>
          <w:p w14:paraId="4DE5B2B0"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0,788</w:t>
            </w:r>
          </w:p>
        </w:tc>
        <w:tc>
          <w:tcPr>
            <w:tcW w:w="708" w:type="pct"/>
            <w:tcBorders>
              <w:top w:val="nil"/>
              <w:left w:val="nil"/>
              <w:bottom w:val="single" w:sz="4" w:space="0" w:color="auto"/>
              <w:right w:val="single" w:sz="4" w:space="0" w:color="auto"/>
            </w:tcBorders>
            <w:shd w:val="clear" w:color="auto" w:fill="auto"/>
            <w:vAlign w:val="center"/>
            <w:hideMark/>
          </w:tcPr>
          <w:p w14:paraId="0004E79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0,083</w:t>
            </w:r>
          </w:p>
        </w:tc>
        <w:tc>
          <w:tcPr>
            <w:tcW w:w="833" w:type="pct"/>
            <w:tcBorders>
              <w:top w:val="nil"/>
              <w:left w:val="nil"/>
              <w:bottom w:val="single" w:sz="4" w:space="0" w:color="auto"/>
              <w:right w:val="single" w:sz="4" w:space="0" w:color="auto"/>
            </w:tcBorders>
            <w:shd w:val="clear" w:color="auto" w:fill="auto"/>
            <w:noWrap/>
            <w:vAlign w:val="center"/>
            <w:hideMark/>
          </w:tcPr>
          <w:p w14:paraId="5735B45E"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0,129</w:t>
            </w:r>
          </w:p>
        </w:tc>
      </w:tr>
      <w:tr w:rsidR="000D5E04" w:rsidRPr="00702255" w14:paraId="113737D6"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61722EB0"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Austria</w:t>
            </w:r>
          </w:p>
        </w:tc>
        <w:tc>
          <w:tcPr>
            <w:tcW w:w="833" w:type="pct"/>
            <w:tcBorders>
              <w:top w:val="nil"/>
              <w:left w:val="nil"/>
              <w:bottom w:val="single" w:sz="4" w:space="0" w:color="auto"/>
              <w:right w:val="single" w:sz="4" w:space="0" w:color="auto"/>
            </w:tcBorders>
            <w:shd w:val="clear" w:color="auto" w:fill="auto"/>
            <w:noWrap/>
            <w:vAlign w:val="center"/>
            <w:hideMark/>
          </w:tcPr>
          <w:p w14:paraId="7476050E"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0,323</w:t>
            </w:r>
          </w:p>
        </w:tc>
        <w:tc>
          <w:tcPr>
            <w:tcW w:w="833" w:type="pct"/>
            <w:tcBorders>
              <w:top w:val="nil"/>
              <w:left w:val="nil"/>
              <w:bottom w:val="single" w:sz="4" w:space="0" w:color="auto"/>
              <w:right w:val="single" w:sz="4" w:space="0" w:color="auto"/>
            </w:tcBorders>
            <w:shd w:val="clear" w:color="auto" w:fill="auto"/>
            <w:noWrap/>
            <w:vAlign w:val="center"/>
            <w:hideMark/>
          </w:tcPr>
          <w:p w14:paraId="6EACD23C"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770A3437"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0,947</w:t>
            </w:r>
          </w:p>
        </w:tc>
        <w:tc>
          <w:tcPr>
            <w:tcW w:w="708" w:type="pct"/>
            <w:tcBorders>
              <w:top w:val="nil"/>
              <w:left w:val="nil"/>
              <w:bottom w:val="single" w:sz="4" w:space="0" w:color="auto"/>
              <w:right w:val="single" w:sz="4" w:space="0" w:color="auto"/>
            </w:tcBorders>
            <w:shd w:val="clear" w:color="auto" w:fill="auto"/>
            <w:vAlign w:val="center"/>
            <w:hideMark/>
          </w:tcPr>
          <w:p w14:paraId="5D821BE3"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0,026</w:t>
            </w:r>
          </w:p>
        </w:tc>
        <w:tc>
          <w:tcPr>
            <w:tcW w:w="833" w:type="pct"/>
            <w:tcBorders>
              <w:top w:val="nil"/>
              <w:left w:val="nil"/>
              <w:bottom w:val="single" w:sz="4" w:space="0" w:color="auto"/>
              <w:right w:val="single" w:sz="4" w:space="0" w:color="auto"/>
            </w:tcBorders>
            <w:shd w:val="clear" w:color="auto" w:fill="auto"/>
            <w:noWrap/>
            <w:vAlign w:val="center"/>
            <w:hideMark/>
          </w:tcPr>
          <w:p w14:paraId="6374C1AF"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0,026</w:t>
            </w:r>
          </w:p>
        </w:tc>
      </w:tr>
      <w:tr w:rsidR="000D5E04" w:rsidRPr="00702255" w14:paraId="730A7594"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0E65B761"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Bélgica</w:t>
            </w:r>
          </w:p>
        </w:tc>
        <w:tc>
          <w:tcPr>
            <w:tcW w:w="833" w:type="pct"/>
            <w:tcBorders>
              <w:top w:val="nil"/>
              <w:left w:val="nil"/>
              <w:bottom w:val="single" w:sz="4" w:space="0" w:color="auto"/>
              <w:right w:val="single" w:sz="4" w:space="0" w:color="auto"/>
            </w:tcBorders>
            <w:shd w:val="clear" w:color="auto" w:fill="auto"/>
            <w:noWrap/>
            <w:vAlign w:val="center"/>
            <w:hideMark/>
          </w:tcPr>
          <w:p w14:paraId="6F38C546"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0,482</w:t>
            </w:r>
          </w:p>
        </w:tc>
        <w:tc>
          <w:tcPr>
            <w:tcW w:w="833" w:type="pct"/>
            <w:tcBorders>
              <w:top w:val="nil"/>
              <w:left w:val="nil"/>
              <w:bottom w:val="single" w:sz="4" w:space="0" w:color="auto"/>
              <w:right w:val="single" w:sz="4" w:space="0" w:color="auto"/>
            </w:tcBorders>
            <w:shd w:val="clear" w:color="auto" w:fill="auto"/>
            <w:noWrap/>
            <w:vAlign w:val="center"/>
            <w:hideMark/>
          </w:tcPr>
          <w:p w14:paraId="6FF501BE"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0,496</w:t>
            </w:r>
          </w:p>
        </w:tc>
        <w:tc>
          <w:tcPr>
            <w:tcW w:w="833" w:type="pct"/>
            <w:tcBorders>
              <w:top w:val="nil"/>
              <w:left w:val="nil"/>
              <w:bottom w:val="single" w:sz="4" w:space="0" w:color="auto"/>
              <w:right w:val="single" w:sz="4" w:space="0" w:color="auto"/>
            </w:tcBorders>
            <w:shd w:val="clear" w:color="auto" w:fill="auto"/>
            <w:noWrap/>
            <w:vAlign w:val="center"/>
            <w:hideMark/>
          </w:tcPr>
          <w:p w14:paraId="2550C4D8"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0,975</w:t>
            </w:r>
          </w:p>
        </w:tc>
        <w:tc>
          <w:tcPr>
            <w:tcW w:w="708" w:type="pct"/>
            <w:tcBorders>
              <w:top w:val="nil"/>
              <w:left w:val="nil"/>
              <w:bottom w:val="single" w:sz="4" w:space="0" w:color="auto"/>
              <w:right w:val="single" w:sz="4" w:space="0" w:color="auto"/>
            </w:tcBorders>
            <w:shd w:val="clear" w:color="auto" w:fill="auto"/>
            <w:vAlign w:val="center"/>
            <w:hideMark/>
          </w:tcPr>
          <w:p w14:paraId="269C5ED3"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0,011</w:t>
            </w:r>
          </w:p>
        </w:tc>
        <w:tc>
          <w:tcPr>
            <w:tcW w:w="833" w:type="pct"/>
            <w:tcBorders>
              <w:top w:val="nil"/>
              <w:left w:val="nil"/>
              <w:bottom w:val="single" w:sz="4" w:space="0" w:color="auto"/>
              <w:right w:val="single" w:sz="4" w:space="0" w:color="auto"/>
            </w:tcBorders>
            <w:shd w:val="clear" w:color="auto" w:fill="auto"/>
            <w:noWrap/>
            <w:vAlign w:val="center"/>
            <w:hideMark/>
          </w:tcPr>
          <w:p w14:paraId="57EE7BA6"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0,015</w:t>
            </w:r>
          </w:p>
        </w:tc>
      </w:tr>
      <w:tr w:rsidR="000D5E04" w:rsidRPr="00702255" w14:paraId="3288310C"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34DACA4"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Dinamarca</w:t>
            </w:r>
          </w:p>
        </w:tc>
        <w:tc>
          <w:tcPr>
            <w:tcW w:w="833" w:type="pct"/>
            <w:tcBorders>
              <w:top w:val="nil"/>
              <w:left w:val="nil"/>
              <w:bottom w:val="single" w:sz="4" w:space="0" w:color="auto"/>
              <w:right w:val="single" w:sz="4" w:space="0" w:color="auto"/>
            </w:tcBorders>
            <w:shd w:val="clear" w:color="auto" w:fill="auto"/>
            <w:noWrap/>
            <w:vAlign w:val="center"/>
            <w:hideMark/>
          </w:tcPr>
          <w:p w14:paraId="05E515C7"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1,201</w:t>
            </w:r>
          </w:p>
        </w:tc>
        <w:tc>
          <w:tcPr>
            <w:tcW w:w="833" w:type="pct"/>
            <w:tcBorders>
              <w:top w:val="nil"/>
              <w:left w:val="nil"/>
              <w:bottom w:val="single" w:sz="4" w:space="0" w:color="auto"/>
              <w:right w:val="single" w:sz="4" w:space="0" w:color="auto"/>
            </w:tcBorders>
            <w:shd w:val="clear" w:color="auto" w:fill="auto"/>
            <w:noWrap/>
            <w:vAlign w:val="center"/>
            <w:hideMark/>
          </w:tcPr>
          <w:p w14:paraId="4081330F"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37909008"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0,931</w:t>
            </w:r>
          </w:p>
        </w:tc>
        <w:tc>
          <w:tcPr>
            <w:tcW w:w="708" w:type="pct"/>
            <w:tcBorders>
              <w:top w:val="nil"/>
              <w:left w:val="nil"/>
              <w:bottom w:val="single" w:sz="4" w:space="0" w:color="auto"/>
              <w:right w:val="single" w:sz="4" w:space="0" w:color="auto"/>
            </w:tcBorders>
            <w:shd w:val="clear" w:color="auto" w:fill="auto"/>
            <w:vAlign w:val="center"/>
            <w:hideMark/>
          </w:tcPr>
          <w:p w14:paraId="3FF2449E"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0,029</w:t>
            </w:r>
          </w:p>
        </w:tc>
        <w:tc>
          <w:tcPr>
            <w:tcW w:w="833" w:type="pct"/>
            <w:tcBorders>
              <w:top w:val="nil"/>
              <w:left w:val="nil"/>
              <w:bottom w:val="single" w:sz="4" w:space="0" w:color="auto"/>
              <w:right w:val="single" w:sz="4" w:space="0" w:color="auto"/>
            </w:tcBorders>
            <w:shd w:val="clear" w:color="auto" w:fill="auto"/>
            <w:noWrap/>
            <w:vAlign w:val="center"/>
            <w:hideMark/>
          </w:tcPr>
          <w:p w14:paraId="4C3F46B3"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0,04</w:t>
            </w:r>
          </w:p>
        </w:tc>
      </w:tr>
      <w:tr w:rsidR="000D5E04" w:rsidRPr="00702255" w14:paraId="4684D4EE"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DCE620B"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España</w:t>
            </w:r>
          </w:p>
        </w:tc>
        <w:tc>
          <w:tcPr>
            <w:tcW w:w="833" w:type="pct"/>
            <w:tcBorders>
              <w:top w:val="nil"/>
              <w:left w:val="nil"/>
              <w:bottom w:val="single" w:sz="4" w:space="0" w:color="auto"/>
              <w:right w:val="single" w:sz="4" w:space="0" w:color="auto"/>
            </w:tcBorders>
            <w:shd w:val="clear" w:color="auto" w:fill="auto"/>
            <w:noWrap/>
            <w:vAlign w:val="center"/>
            <w:hideMark/>
          </w:tcPr>
          <w:p w14:paraId="6193FAD0"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-0,939</w:t>
            </w:r>
          </w:p>
        </w:tc>
        <w:tc>
          <w:tcPr>
            <w:tcW w:w="833" w:type="pct"/>
            <w:tcBorders>
              <w:top w:val="nil"/>
              <w:left w:val="nil"/>
              <w:bottom w:val="single" w:sz="4" w:space="0" w:color="auto"/>
              <w:right w:val="single" w:sz="4" w:space="0" w:color="auto"/>
            </w:tcBorders>
            <w:shd w:val="clear" w:color="auto" w:fill="auto"/>
            <w:noWrap/>
            <w:vAlign w:val="center"/>
            <w:hideMark/>
          </w:tcPr>
          <w:p w14:paraId="0509EDF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-1,469</w:t>
            </w:r>
          </w:p>
        </w:tc>
        <w:tc>
          <w:tcPr>
            <w:tcW w:w="833" w:type="pct"/>
            <w:tcBorders>
              <w:top w:val="nil"/>
              <w:left w:val="nil"/>
              <w:bottom w:val="single" w:sz="4" w:space="0" w:color="auto"/>
              <w:right w:val="single" w:sz="4" w:space="0" w:color="auto"/>
            </w:tcBorders>
            <w:shd w:val="clear" w:color="auto" w:fill="auto"/>
            <w:noWrap/>
            <w:vAlign w:val="center"/>
            <w:hideMark/>
          </w:tcPr>
          <w:p w14:paraId="68FA9529"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0,048</w:t>
            </w:r>
          </w:p>
        </w:tc>
        <w:tc>
          <w:tcPr>
            <w:tcW w:w="708" w:type="pct"/>
            <w:tcBorders>
              <w:top w:val="nil"/>
              <w:left w:val="nil"/>
              <w:bottom w:val="single" w:sz="4" w:space="0" w:color="auto"/>
              <w:right w:val="single" w:sz="4" w:space="0" w:color="auto"/>
            </w:tcBorders>
            <w:shd w:val="clear" w:color="auto" w:fill="auto"/>
            <w:vAlign w:val="center"/>
            <w:hideMark/>
          </w:tcPr>
          <w:p w14:paraId="703938D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0,061</w:t>
            </w:r>
          </w:p>
        </w:tc>
        <w:tc>
          <w:tcPr>
            <w:tcW w:w="833" w:type="pct"/>
            <w:tcBorders>
              <w:top w:val="nil"/>
              <w:left w:val="nil"/>
              <w:bottom w:val="single" w:sz="4" w:space="0" w:color="auto"/>
              <w:right w:val="single" w:sz="4" w:space="0" w:color="auto"/>
            </w:tcBorders>
            <w:shd w:val="clear" w:color="auto" w:fill="auto"/>
            <w:noWrap/>
            <w:vAlign w:val="center"/>
            <w:hideMark/>
          </w:tcPr>
          <w:p w14:paraId="5E4635A5"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0,89</w:t>
            </w:r>
          </w:p>
        </w:tc>
      </w:tr>
      <w:tr w:rsidR="000D5E04" w:rsidRPr="00702255" w14:paraId="29426AE6"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0E98E11"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Finlandia</w:t>
            </w:r>
          </w:p>
        </w:tc>
        <w:tc>
          <w:tcPr>
            <w:tcW w:w="833" w:type="pct"/>
            <w:tcBorders>
              <w:top w:val="nil"/>
              <w:left w:val="nil"/>
              <w:bottom w:val="single" w:sz="4" w:space="0" w:color="auto"/>
              <w:right w:val="single" w:sz="4" w:space="0" w:color="auto"/>
            </w:tcBorders>
            <w:shd w:val="clear" w:color="auto" w:fill="auto"/>
            <w:noWrap/>
            <w:vAlign w:val="center"/>
            <w:hideMark/>
          </w:tcPr>
          <w:p w14:paraId="4AFC19B0"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0,707</w:t>
            </w:r>
          </w:p>
        </w:tc>
        <w:tc>
          <w:tcPr>
            <w:tcW w:w="833" w:type="pct"/>
            <w:tcBorders>
              <w:top w:val="nil"/>
              <w:left w:val="nil"/>
              <w:bottom w:val="single" w:sz="4" w:space="0" w:color="auto"/>
              <w:right w:val="single" w:sz="4" w:space="0" w:color="auto"/>
            </w:tcBorders>
            <w:shd w:val="clear" w:color="auto" w:fill="auto"/>
            <w:noWrap/>
            <w:vAlign w:val="center"/>
            <w:hideMark/>
          </w:tcPr>
          <w:p w14:paraId="447243FD"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6EA70C96"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0,997</w:t>
            </w:r>
          </w:p>
        </w:tc>
        <w:tc>
          <w:tcPr>
            <w:tcW w:w="708" w:type="pct"/>
            <w:tcBorders>
              <w:top w:val="nil"/>
              <w:left w:val="nil"/>
              <w:bottom w:val="single" w:sz="4" w:space="0" w:color="auto"/>
              <w:right w:val="single" w:sz="4" w:space="0" w:color="auto"/>
            </w:tcBorders>
            <w:shd w:val="clear" w:color="auto" w:fill="auto"/>
            <w:vAlign w:val="center"/>
            <w:hideMark/>
          </w:tcPr>
          <w:p w14:paraId="199AC1DE"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c>
          <w:tcPr>
            <w:tcW w:w="833" w:type="pct"/>
            <w:tcBorders>
              <w:top w:val="nil"/>
              <w:left w:val="nil"/>
              <w:bottom w:val="single" w:sz="4" w:space="0" w:color="auto"/>
              <w:right w:val="single" w:sz="4" w:space="0" w:color="auto"/>
            </w:tcBorders>
            <w:shd w:val="clear" w:color="auto" w:fill="auto"/>
            <w:noWrap/>
            <w:vAlign w:val="center"/>
            <w:hideMark/>
          </w:tcPr>
          <w:p w14:paraId="610C205D"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r>
      <w:tr w:rsidR="000D5E04" w:rsidRPr="00702255" w14:paraId="344A41E9"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40BCE98"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Francia</w:t>
            </w:r>
          </w:p>
        </w:tc>
        <w:tc>
          <w:tcPr>
            <w:tcW w:w="833" w:type="pct"/>
            <w:tcBorders>
              <w:top w:val="nil"/>
              <w:left w:val="nil"/>
              <w:bottom w:val="single" w:sz="4" w:space="0" w:color="auto"/>
              <w:right w:val="single" w:sz="4" w:space="0" w:color="auto"/>
            </w:tcBorders>
            <w:shd w:val="clear" w:color="auto" w:fill="auto"/>
            <w:noWrap/>
            <w:vAlign w:val="center"/>
            <w:hideMark/>
          </w:tcPr>
          <w:p w14:paraId="0401A3A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1,598</w:t>
            </w:r>
          </w:p>
        </w:tc>
        <w:tc>
          <w:tcPr>
            <w:tcW w:w="833" w:type="pct"/>
            <w:tcBorders>
              <w:top w:val="nil"/>
              <w:left w:val="nil"/>
              <w:bottom w:val="single" w:sz="4" w:space="0" w:color="auto"/>
              <w:right w:val="single" w:sz="4" w:space="0" w:color="auto"/>
            </w:tcBorders>
            <w:shd w:val="clear" w:color="auto" w:fill="auto"/>
            <w:noWrap/>
            <w:vAlign w:val="center"/>
            <w:hideMark/>
          </w:tcPr>
          <w:p w14:paraId="4DEF9F52"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7CBFF755"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0,847</w:t>
            </w:r>
          </w:p>
        </w:tc>
        <w:tc>
          <w:tcPr>
            <w:tcW w:w="708" w:type="pct"/>
            <w:tcBorders>
              <w:top w:val="nil"/>
              <w:left w:val="nil"/>
              <w:bottom w:val="single" w:sz="4" w:space="0" w:color="auto"/>
              <w:right w:val="single" w:sz="4" w:space="0" w:color="auto"/>
            </w:tcBorders>
            <w:shd w:val="clear" w:color="auto" w:fill="auto"/>
            <w:vAlign w:val="center"/>
            <w:hideMark/>
          </w:tcPr>
          <w:p w14:paraId="6B808351"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0,062</w:t>
            </w:r>
          </w:p>
        </w:tc>
        <w:tc>
          <w:tcPr>
            <w:tcW w:w="833" w:type="pct"/>
            <w:tcBorders>
              <w:top w:val="nil"/>
              <w:left w:val="nil"/>
              <w:bottom w:val="single" w:sz="4" w:space="0" w:color="auto"/>
              <w:right w:val="single" w:sz="4" w:space="0" w:color="auto"/>
            </w:tcBorders>
            <w:shd w:val="clear" w:color="auto" w:fill="auto"/>
            <w:noWrap/>
            <w:vAlign w:val="center"/>
            <w:hideMark/>
          </w:tcPr>
          <w:p w14:paraId="3C3ABBF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0,092</w:t>
            </w:r>
          </w:p>
        </w:tc>
      </w:tr>
      <w:tr w:rsidR="000D5E04" w:rsidRPr="00702255" w14:paraId="459B7171"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1FCF4430"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Grecia</w:t>
            </w:r>
          </w:p>
        </w:tc>
        <w:tc>
          <w:tcPr>
            <w:tcW w:w="833" w:type="pct"/>
            <w:tcBorders>
              <w:top w:val="nil"/>
              <w:left w:val="nil"/>
              <w:bottom w:val="single" w:sz="4" w:space="0" w:color="auto"/>
              <w:right w:val="single" w:sz="4" w:space="0" w:color="auto"/>
            </w:tcBorders>
            <w:shd w:val="clear" w:color="auto" w:fill="auto"/>
            <w:noWrap/>
            <w:vAlign w:val="center"/>
            <w:hideMark/>
          </w:tcPr>
          <w:p w14:paraId="6D77B648"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-0,488</w:t>
            </w:r>
          </w:p>
        </w:tc>
        <w:tc>
          <w:tcPr>
            <w:tcW w:w="833" w:type="pct"/>
            <w:tcBorders>
              <w:top w:val="nil"/>
              <w:left w:val="nil"/>
              <w:bottom w:val="single" w:sz="4" w:space="0" w:color="auto"/>
              <w:right w:val="single" w:sz="4" w:space="0" w:color="auto"/>
            </w:tcBorders>
            <w:shd w:val="clear" w:color="auto" w:fill="auto"/>
            <w:noWrap/>
            <w:vAlign w:val="center"/>
            <w:hideMark/>
          </w:tcPr>
          <w:p w14:paraId="2498E7FC"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-1,798</w:t>
            </w:r>
          </w:p>
        </w:tc>
        <w:tc>
          <w:tcPr>
            <w:tcW w:w="833" w:type="pct"/>
            <w:tcBorders>
              <w:top w:val="nil"/>
              <w:left w:val="nil"/>
              <w:bottom w:val="single" w:sz="4" w:space="0" w:color="auto"/>
              <w:right w:val="single" w:sz="4" w:space="0" w:color="auto"/>
            </w:tcBorders>
            <w:shd w:val="clear" w:color="auto" w:fill="auto"/>
            <w:noWrap/>
            <w:vAlign w:val="center"/>
            <w:hideMark/>
          </w:tcPr>
          <w:p w14:paraId="190883E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0,032</w:t>
            </w:r>
          </w:p>
        </w:tc>
        <w:tc>
          <w:tcPr>
            <w:tcW w:w="708" w:type="pct"/>
            <w:tcBorders>
              <w:top w:val="nil"/>
              <w:left w:val="nil"/>
              <w:bottom w:val="single" w:sz="4" w:space="0" w:color="auto"/>
              <w:right w:val="single" w:sz="4" w:space="0" w:color="auto"/>
            </w:tcBorders>
            <w:shd w:val="clear" w:color="auto" w:fill="auto"/>
            <w:vAlign w:val="center"/>
            <w:hideMark/>
          </w:tcPr>
          <w:p w14:paraId="76B89765"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0,028</w:t>
            </w:r>
          </w:p>
        </w:tc>
        <w:tc>
          <w:tcPr>
            <w:tcW w:w="833" w:type="pct"/>
            <w:tcBorders>
              <w:top w:val="nil"/>
              <w:left w:val="nil"/>
              <w:bottom w:val="single" w:sz="4" w:space="0" w:color="auto"/>
              <w:right w:val="single" w:sz="4" w:space="0" w:color="auto"/>
            </w:tcBorders>
            <w:shd w:val="clear" w:color="auto" w:fill="auto"/>
            <w:noWrap/>
            <w:vAlign w:val="center"/>
            <w:hideMark/>
          </w:tcPr>
          <w:p w14:paraId="2294E82B"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0,94</w:t>
            </w:r>
          </w:p>
        </w:tc>
      </w:tr>
      <w:tr w:rsidR="000D5E04" w:rsidRPr="00702255" w14:paraId="7895B025"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775BE240"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Holanda</w:t>
            </w:r>
          </w:p>
        </w:tc>
        <w:tc>
          <w:tcPr>
            <w:tcW w:w="833" w:type="pct"/>
            <w:tcBorders>
              <w:top w:val="nil"/>
              <w:left w:val="nil"/>
              <w:bottom w:val="single" w:sz="4" w:space="0" w:color="auto"/>
              <w:right w:val="single" w:sz="4" w:space="0" w:color="auto"/>
            </w:tcBorders>
            <w:shd w:val="clear" w:color="auto" w:fill="auto"/>
            <w:noWrap/>
            <w:vAlign w:val="center"/>
            <w:hideMark/>
          </w:tcPr>
          <w:p w14:paraId="1B03A82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0,701</w:t>
            </w:r>
          </w:p>
        </w:tc>
        <w:tc>
          <w:tcPr>
            <w:tcW w:w="833" w:type="pct"/>
            <w:tcBorders>
              <w:top w:val="nil"/>
              <w:left w:val="nil"/>
              <w:bottom w:val="single" w:sz="4" w:space="0" w:color="auto"/>
              <w:right w:val="single" w:sz="4" w:space="0" w:color="auto"/>
            </w:tcBorders>
            <w:shd w:val="clear" w:color="auto" w:fill="auto"/>
            <w:noWrap/>
            <w:vAlign w:val="center"/>
            <w:hideMark/>
          </w:tcPr>
          <w:p w14:paraId="765710EC"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05311A62"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0,997</w:t>
            </w:r>
          </w:p>
        </w:tc>
        <w:tc>
          <w:tcPr>
            <w:tcW w:w="708" w:type="pct"/>
            <w:tcBorders>
              <w:top w:val="nil"/>
              <w:left w:val="nil"/>
              <w:bottom w:val="single" w:sz="4" w:space="0" w:color="auto"/>
              <w:right w:val="single" w:sz="4" w:space="0" w:color="auto"/>
            </w:tcBorders>
            <w:shd w:val="clear" w:color="auto" w:fill="auto"/>
            <w:vAlign w:val="center"/>
            <w:hideMark/>
          </w:tcPr>
          <w:p w14:paraId="47CDE3C3"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c>
          <w:tcPr>
            <w:tcW w:w="833" w:type="pct"/>
            <w:tcBorders>
              <w:top w:val="nil"/>
              <w:left w:val="nil"/>
              <w:bottom w:val="single" w:sz="4" w:space="0" w:color="auto"/>
              <w:right w:val="single" w:sz="4" w:space="0" w:color="auto"/>
            </w:tcBorders>
            <w:shd w:val="clear" w:color="auto" w:fill="auto"/>
            <w:noWrap/>
            <w:vAlign w:val="center"/>
            <w:hideMark/>
          </w:tcPr>
          <w:p w14:paraId="40A79897"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r>
      <w:tr w:rsidR="000D5E04" w:rsidRPr="00702255" w14:paraId="5347CCB2"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1936CBC"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Irlanda</w:t>
            </w:r>
          </w:p>
        </w:tc>
        <w:tc>
          <w:tcPr>
            <w:tcW w:w="833" w:type="pct"/>
            <w:tcBorders>
              <w:top w:val="nil"/>
              <w:left w:val="nil"/>
              <w:bottom w:val="single" w:sz="4" w:space="0" w:color="auto"/>
              <w:right w:val="single" w:sz="4" w:space="0" w:color="auto"/>
            </w:tcBorders>
            <w:shd w:val="clear" w:color="auto" w:fill="auto"/>
            <w:noWrap/>
            <w:vAlign w:val="center"/>
            <w:hideMark/>
          </w:tcPr>
          <w:p w14:paraId="2FBF345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-1,921</w:t>
            </w:r>
          </w:p>
        </w:tc>
        <w:tc>
          <w:tcPr>
            <w:tcW w:w="833" w:type="pct"/>
            <w:tcBorders>
              <w:top w:val="nil"/>
              <w:left w:val="nil"/>
              <w:bottom w:val="single" w:sz="4" w:space="0" w:color="auto"/>
              <w:right w:val="single" w:sz="4" w:space="0" w:color="auto"/>
            </w:tcBorders>
            <w:shd w:val="clear" w:color="auto" w:fill="auto"/>
            <w:noWrap/>
            <w:vAlign w:val="center"/>
            <w:hideMark/>
          </w:tcPr>
          <w:p w14:paraId="5548222F"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4B543579"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c>
          <w:tcPr>
            <w:tcW w:w="708" w:type="pct"/>
            <w:tcBorders>
              <w:top w:val="nil"/>
              <w:left w:val="nil"/>
              <w:bottom w:val="single" w:sz="4" w:space="0" w:color="auto"/>
              <w:right w:val="single" w:sz="4" w:space="0" w:color="auto"/>
            </w:tcBorders>
            <w:shd w:val="clear" w:color="auto" w:fill="auto"/>
            <w:vAlign w:val="center"/>
            <w:hideMark/>
          </w:tcPr>
          <w:p w14:paraId="789438F9"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0,998</w:t>
            </w:r>
          </w:p>
        </w:tc>
        <w:tc>
          <w:tcPr>
            <w:tcW w:w="833" w:type="pct"/>
            <w:tcBorders>
              <w:top w:val="nil"/>
              <w:left w:val="nil"/>
              <w:bottom w:val="single" w:sz="4" w:space="0" w:color="auto"/>
              <w:right w:val="single" w:sz="4" w:space="0" w:color="auto"/>
            </w:tcBorders>
            <w:shd w:val="clear" w:color="auto" w:fill="auto"/>
            <w:noWrap/>
            <w:vAlign w:val="center"/>
            <w:hideMark/>
          </w:tcPr>
          <w:p w14:paraId="695A9660"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0,001</w:t>
            </w:r>
          </w:p>
        </w:tc>
      </w:tr>
      <w:tr w:rsidR="000D5E04" w:rsidRPr="00702255" w14:paraId="5AA314F6"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0484B11E"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Italia</w:t>
            </w:r>
          </w:p>
        </w:tc>
        <w:tc>
          <w:tcPr>
            <w:tcW w:w="833" w:type="pct"/>
            <w:tcBorders>
              <w:top w:val="nil"/>
              <w:left w:val="nil"/>
              <w:bottom w:val="single" w:sz="4" w:space="0" w:color="auto"/>
              <w:right w:val="single" w:sz="4" w:space="0" w:color="auto"/>
            </w:tcBorders>
            <w:shd w:val="clear" w:color="auto" w:fill="auto"/>
            <w:noWrap/>
            <w:vAlign w:val="center"/>
            <w:hideMark/>
          </w:tcPr>
          <w:p w14:paraId="718B8750"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0,329</w:t>
            </w:r>
          </w:p>
        </w:tc>
        <w:tc>
          <w:tcPr>
            <w:tcW w:w="833" w:type="pct"/>
            <w:tcBorders>
              <w:top w:val="nil"/>
              <w:left w:val="nil"/>
              <w:bottom w:val="single" w:sz="4" w:space="0" w:color="auto"/>
              <w:right w:val="single" w:sz="4" w:space="0" w:color="auto"/>
            </w:tcBorders>
            <w:shd w:val="clear" w:color="auto" w:fill="auto"/>
            <w:noWrap/>
            <w:vAlign w:val="center"/>
            <w:hideMark/>
          </w:tcPr>
          <w:p w14:paraId="10D309D7"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-1,606</w:t>
            </w:r>
          </w:p>
        </w:tc>
        <w:tc>
          <w:tcPr>
            <w:tcW w:w="833" w:type="pct"/>
            <w:tcBorders>
              <w:top w:val="nil"/>
              <w:left w:val="nil"/>
              <w:bottom w:val="single" w:sz="4" w:space="0" w:color="auto"/>
              <w:right w:val="single" w:sz="4" w:space="0" w:color="auto"/>
            </w:tcBorders>
            <w:shd w:val="clear" w:color="auto" w:fill="auto"/>
            <w:noWrap/>
            <w:vAlign w:val="center"/>
            <w:hideMark/>
          </w:tcPr>
          <w:p w14:paraId="0B2D47A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0,087</w:t>
            </w:r>
          </w:p>
        </w:tc>
        <w:tc>
          <w:tcPr>
            <w:tcW w:w="708" w:type="pct"/>
            <w:tcBorders>
              <w:top w:val="nil"/>
              <w:left w:val="nil"/>
              <w:bottom w:val="single" w:sz="4" w:space="0" w:color="auto"/>
              <w:right w:val="single" w:sz="4" w:space="0" w:color="auto"/>
            </w:tcBorders>
            <w:shd w:val="clear" w:color="auto" w:fill="auto"/>
            <w:vAlign w:val="center"/>
            <w:hideMark/>
          </w:tcPr>
          <w:p w14:paraId="6322EDF7"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0,045</w:t>
            </w:r>
          </w:p>
        </w:tc>
        <w:tc>
          <w:tcPr>
            <w:tcW w:w="833" w:type="pct"/>
            <w:tcBorders>
              <w:top w:val="nil"/>
              <w:left w:val="nil"/>
              <w:bottom w:val="single" w:sz="4" w:space="0" w:color="auto"/>
              <w:right w:val="single" w:sz="4" w:space="0" w:color="auto"/>
            </w:tcBorders>
            <w:shd w:val="clear" w:color="auto" w:fill="auto"/>
            <w:noWrap/>
            <w:vAlign w:val="center"/>
            <w:hideMark/>
          </w:tcPr>
          <w:p w14:paraId="4E101930"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0,868</w:t>
            </w:r>
          </w:p>
        </w:tc>
      </w:tr>
      <w:tr w:rsidR="000D5E04" w:rsidRPr="00702255" w14:paraId="5C88BCD7"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3D6808FE"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Luxemburgo</w:t>
            </w:r>
          </w:p>
        </w:tc>
        <w:tc>
          <w:tcPr>
            <w:tcW w:w="833" w:type="pct"/>
            <w:tcBorders>
              <w:top w:val="nil"/>
              <w:left w:val="nil"/>
              <w:bottom w:val="single" w:sz="4" w:space="0" w:color="auto"/>
              <w:right w:val="single" w:sz="4" w:space="0" w:color="auto"/>
            </w:tcBorders>
            <w:shd w:val="clear" w:color="auto" w:fill="auto"/>
            <w:noWrap/>
            <w:vAlign w:val="center"/>
            <w:hideMark/>
          </w:tcPr>
          <w:p w14:paraId="5B2DDA21"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-1,824</w:t>
            </w:r>
          </w:p>
        </w:tc>
        <w:tc>
          <w:tcPr>
            <w:tcW w:w="833" w:type="pct"/>
            <w:tcBorders>
              <w:top w:val="nil"/>
              <w:left w:val="nil"/>
              <w:bottom w:val="single" w:sz="4" w:space="0" w:color="auto"/>
              <w:right w:val="single" w:sz="4" w:space="0" w:color="auto"/>
            </w:tcBorders>
            <w:shd w:val="clear" w:color="auto" w:fill="auto"/>
            <w:noWrap/>
            <w:vAlign w:val="center"/>
            <w:hideMark/>
          </w:tcPr>
          <w:p w14:paraId="0916065F"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2CFF30F2"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w:t>
            </w:r>
          </w:p>
        </w:tc>
        <w:tc>
          <w:tcPr>
            <w:tcW w:w="708" w:type="pct"/>
            <w:tcBorders>
              <w:top w:val="nil"/>
              <w:left w:val="nil"/>
              <w:bottom w:val="single" w:sz="4" w:space="0" w:color="auto"/>
              <w:right w:val="single" w:sz="4" w:space="0" w:color="auto"/>
            </w:tcBorders>
            <w:shd w:val="clear" w:color="auto" w:fill="auto"/>
            <w:vAlign w:val="center"/>
            <w:hideMark/>
          </w:tcPr>
          <w:p w14:paraId="550583DD"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1</w:t>
            </w:r>
          </w:p>
        </w:tc>
        <w:tc>
          <w:tcPr>
            <w:tcW w:w="833" w:type="pct"/>
            <w:tcBorders>
              <w:top w:val="nil"/>
              <w:left w:val="nil"/>
              <w:bottom w:val="single" w:sz="4" w:space="0" w:color="auto"/>
              <w:right w:val="single" w:sz="4" w:space="0" w:color="auto"/>
            </w:tcBorders>
            <w:shd w:val="clear" w:color="auto" w:fill="auto"/>
            <w:noWrap/>
            <w:vAlign w:val="center"/>
            <w:hideMark/>
          </w:tcPr>
          <w:p w14:paraId="4FA087DB"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w:t>
            </w:r>
          </w:p>
        </w:tc>
      </w:tr>
      <w:tr w:rsidR="000D5E04" w:rsidRPr="00702255" w14:paraId="61B4B528"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04C16D9C"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Portugal</w:t>
            </w:r>
          </w:p>
        </w:tc>
        <w:tc>
          <w:tcPr>
            <w:tcW w:w="833" w:type="pct"/>
            <w:tcBorders>
              <w:top w:val="nil"/>
              <w:left w:val="nil"/>
              <w:bottom w:val="single" w:sz="4" w:space="0" w:color="auto"/>
              <w:right w:val="single" w:sz="4" w:space="0" w:color="auto"/>
            </w:tcBorders>
            <w:shd w:val="clear" w:color="auto" w:fill="auto"/>
            <w:noWrap/>
            <w:vAlign w:val="center"/>
            <w:hideMark/>
          </w:tcPr>
          <w:p w14:paraId="0B96A38F"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-0,585</w:t>
            </w:r>
          </w:p>
        </w:tc>
        <w:tc>
          <w:tcPr>
            <w:tcW w:w="833" w:type="pct"/>
            <w:tcBorders>
              <w:top w:val="nil"/>
              <w:left w:val="nil"/>
              <w:bottom w:val="single" w:sz="4" w:space="0" w:color="auto"/>
              <w:right w:val="single" w:sz="4" w:space="0" w:color="auto"/>
            </w:tcBorders>
            <w:shd w:val="clear" w:color="auto" w:fill="auto"/>
            <w:noWrap/>
            <w:vAlign w:val="center"/>
            <w:hideMark/>
          </w:tcPr>
          <w:p w14:paraId="2D0D6D08"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-0,774</w:t>
            </w:r>
          </w:p>
        </w:tc>
        <w:tc>
          <w:tcPr>
            <w:tcW w:w="833" w:type="pct"/>
            <w:tcBorders>
              <w:top w:val="nil"/>
              <w:left w:val="nil"/>
              <w:bottom w:val="single" w:sz="4" w:space="0" w:color="auto"/>
              <w:right w:val="single" w:sz="4" w:space="0" w:color="auto"/>
            </w:tcBorders>
            <w:shd w:val="clear" w:color="auto" w:fill="auto"/>
            <w:noWrap/>
            <w:vAlign w:val="center"/>
            <w:hideMark/>
          </w:tcPr>
          <w:p w14:paraId="771C9BB4"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0,085</w:t>
            </w:r>
          </w:p>
        </w:tc>
        <w:tc>
          <w:tcPr>
            <w:tcW w:w="708" w:type="pct"/>
            <w:tcBorders>
              <w:top w:val="nil"/>
              <w:left w:val="nil"/>
              <w:bottom w:val="single" w:sz="4" w:space="0" w:color="auto"/>
              <w:right w:val="single" w:sz="4" w:space="0" w:color="auto"/>
            </w:tcBorders>
            <w:shd w:val="clear" w:color="auto" w:fill="auto"/>
            <w:vAlign w:val="center"/>
            <w:hideMark/>
          </w:tcPr>
          <w:p w14:paraId="1F8E3364"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0,08</w:t>
            </w:r>
          </w:p>
        </w:tc>
        <w:tc>
          <w:tcPr>
            <w:tcW w:w="833" w:type="pct"/>
            <w:tcBorders>
              <w:top w:val="nil"/>
              <w:left w:val="nil"/>
              <w:bottom w:val="single" w:sz="4" w:space="0" w:color="auto"/>
              <w:right w:val="single" w:sz="4" w:space="0" w:color="auto"/>
            </w:tcBorders>
            <w:shd w:val="clear" w:color="auto" w:fill="auto"/>
            <w:noWrap/>
            <w:vAlign w:val="center"/>
            <w:hideMark/>
          </w:tcPr>
          <w:p w14:paraId="2D56457E"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0,835</w:t>
            </w:r>
          </w:p>
        </w:tc>
      </w:tr>
      <w:tr w:rsidR="000D5E04" w:rsidRPr="00702255" w14:paraId="47D1B673"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6C96BD2F"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Reino Unido</w:t>
            </w:r>
          </w:p>
        </w:tc>
        <w:tc>
          <w:tcPr>
            <w:tcW w:w="833" w:type="pct"/>
            <w:tcBorders>
              <w:top w:val="nil"/>
              <w:left w:val="nil"/>
              <w:bottom w:val="single" w:sz="4" w:space="0" w:color="auto"/>
              <w:right w:val="single" w:sz="4" w:space="0" w:color="auto"/>
            </w:tcBorders>
            <w:shd w:val="clear" w:color="auto" w:fill="auto"/>
            <w:noWrap/>
            <w:vAlign w:val="center"/>
            <w:hideMark/>
          </w:tcPr>
          <w:p w14:paraId="6DE4A55D"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0,012</w:t>
            </w:r>
          </w:p>
        </w:tc>
        <w:tc>
          <w:tcPr>
            <w:tcW w:w="833" w:type="pct"/>
            <w:tcBorders>
              <w:top w:val="nil"/>
              <w:left w:val="nil"/>
              <w:bottom w:val="single" w:sz="4" w:space="0" w:color="auto"/>
              <w:right w:val="single" w:sz="4" w:space="0" w:color="auto"/>
            </w:tcBorders>
            <w:shd w:val="clear" w:color="auto" w:fill="auto"/>
            <w:noWrap/>
            <w:vAlign w:val="center"/>
            <w:hideMark/>
          </w:tcPr>
          <w:p w14:paraId="77A8D333"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-0,932</w:t>
            </w:r>
          </w:p>
        </w:tc>
        <w:tc>
          <w:tcPr>
            <w:tcW w:w="833" w:type="pct"/>
            <w:tcBorders>
              <w:top w:val="nil"/>
              <w:left w:val="nil"/>
              <w:bottom w:val="single" w:sz="4" w:space="0" w:color="auto"/>
              <w:right w:val="single" w:sz="4" w:space="0" w:color="auto"/>
            </w:tcBorders>
            <w:shd w:val="clear" w:color="auto" w:fill="auto"/>
            <w:noWrap/>
            <w:vAlign w:val="center"/>
            <w:hideMark/>
          </w:tcPr>
          <w:p w14:paraId="22BB3374"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0,082</w:t>
            </w:r>
          </w:p>
        </w:tc>
        <w:tc>
          <w:tcPr>
            <w:tcW w:w="708" w:type="pct"/>
            <w:tcBorders>
              <w:top w:val="nil"/>
              <w:left w:val="nil"/>
              <w:bottom w:val="single" w:sz="4" w:space="0" w:color="auto"/>
              <w:right w:val="single" w:sz="4" w:space="0" w:color="auto"/>
            </w:tcBorders>
            <w:shd w:val="clear" w:color="auto" w:fill="auto"/>
            <w:vAlign w:val="center"/>
            <w:hideMark/>
          </w:tcPr>
          <w:p w14:paraId="02B1C096"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0,039</w:t>
            </w:r>
          </w:p>
        </w:tc>
        <w:tc>
          <w:tcPr>
            <w:tcW w:w="833" w:type="pct"/>
            <w:tcBorders>
              <w:top w:val="nil"/>
              <w:left w:val="nil"/>
              <w:bottom w:val="single" w:sz="4" w:space="0" w:color="auto"/>
              <w:right w:val="single" w:sz="4" w:space="0" w:color="auto"/>
            </w:tcBorders>
            <w:shd w:val="clear" w:color="auto" w:fill="auto"/>
            <w:noWrap/>
            <w:vAlign w:val="center"/>
            <w:hideMark/>
          </w:tcPr>
          <w:p w14:paraId="7835ECFE"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0,878</w:t>
            </w:r>
          </w:p>
        </w:tc>
      </w:tr>
      <w:tr w:rsidR="000D5E04" w:rsidRPr="00702255" w14:paraId="2C6DC1A5" w14:textId="77777777" w:rsidTr="006A0594">
        <w:trPr>
          <w:trHeight w:val="315"/>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53513304" w14:textId="77777777" w:rsidR="000D5E04" w:rsidRPr="00702255" w:rsidRDefault="000D5E04" w:rsidP="006A0594">
            <w:pPr>
              <w:rPr>
                <w:rFonts w:eastAsia="Times New Roman"/>
                <w:color w:val="000000"/>
                <w:sz w:val="20"/>
                <w:szCs w:val="20"/>
              </w:rPr>
            </w:pPr>
            <w:r w:rsidRPr="00702255">
              <w:rPr>
                <w:rFonts w:eastAsia="Times New Roman"/>
                <w:color w:val="000000"/>
                <w:sz w:val="20"/>
                <w:szCs w:val="20"/>
              </w:rPr>
              <w:t>Suecia</w:t>
            </w:r>
          </w:p>
        </w:tc>
        <w:tc>
          <w:tcPr>
            <w:tcW w:w="833" w:type="pct"/>
            <w:tcBorders>
              <w:top w:val="nil"/>
              <w:left w:val="nil"/>
              <w:bottom w:val="single" w:sz="4" w:space="0" w:color="auto"/>
              <w:right w:val="single" w:sz="4" w:space="0" w:color="auto"/>
            </w:tcBorders>
            <w:shd w:val="clear" w:color="auto" w:fill="auto"/>
            <w:noWrap/>
            <w:vAlign w:val="center"/>
            <w:hideMark/>
          </w:tcPr>
          <w:p w14:paraId="6D1F071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0,256</w:t>
            </w:r>
          </w:p>
        </w:tc>
        <w:tc>
          <w:tcPr>
            <w:tcW w:w="833" w:type="pct"/>
            <w:tcBorders>
              <w:top w:val="nil"/>
              <w:left w:val="nil"/>
              <w:bottom w:val="single" w:sz="4" w:space="0" w:color="auto"/>
              <w:right w:val="single" w:sz="4" w:space="0" w:color="auto"/>
            </w:tcBorders>
            <w:shd w:val="clear" w:color="auto" w:fill="auto"/>
            <w:noWrap/>
            <w:vAlign w:val="center"/>
            <w:hideMark/>
          </w:tcPr>
          <w:p w14:paraId="5A606ACD"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0,73</w:t>
            </w:r>
          </w:p>
        </w:tc>
        <w:tc>
          <w:tcPr>
            <w:tcW w:w="833" w:type="pct"/>
            <w:tcBorders>
              <w:top w:val="nil"/>
              <w:left w:val="nil"/>
              <w:bottom w:val="single" w:sz="4" w:space="0" w:color="auto"/>
              <w:right w:val="single" w:sz="4" w:space="0" w:color="auto"/>
            </w:tcBorders>
            <w:shd w:val="clear" w:color="auto" w:fill="auto"/>
            <w:noWrap/>
            <w:vAlign w:val="center"/>
            <w:hideMark/>
          </w:tcPr>
          <w:p w14:paraId="3FEE2C24" w14:textId="77777777" w:rsidR="000D5E04" w:rsidRPr="00702255" w:rsidRDefault="000D5E04" w:rsidP="006A0594">
            <w:pPr>
              <w:jc w:val="center"/>
              <w:rPr>
                <w:rFonts w:eastAsia="Times New Roman"/>
                <w:b/>
                <w:bCs/>
                <w:color w:val="000000"/>
                <w:sz w:val="20"/>
                <w:szCs w:val="20"/>
              </w:rPr>
            </w:pPr>
            <w:r w:rsidRPr="00702255">
              <w:rPr>
                <w:rFonts w:eastAsia="Times New Roman"/>
                <w:b/>
                <w:bCs/>
                <w:color w:val="000000"/>
                <w:sz w:val="20"/>
                <w:szCs w:val="20"/>
              </w:rPr>
              <w:t>0,925</w:t>
            </w:r>
          </w:p>
        </w:tc>
        <w:tc>
          <w:tcPr>
            <w:tcW w:w="708" w:type="pct"/>
            <w:tcBorders>
              <w:top w:val="nil"/>
              <w:left w:val="nil"/>
              <w:bottom w:val="single" w:sz="4" w:space="0" w:color="auto"/>
              <w:right w:val="single" w:sz="4" w:space="0" w:color="auto"/>
            </w:tcBorders>
            <w:shd w:val="clear" w:color="auto" w:fill="auto"/>
            <w:vAlign w:val="center"/>
            <w:hideMark/>
          </w:tcPr>
          <w:p w14:paraId="2F20299C"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0,038</w:t>
            </w:r>
          </w:p>
        </w:tc>
        <w:tc>
          <w:tcPr>
            <w:tcW w:w="833" w:type="pct"/>
            <w:tcBorders>
              <w:top w:val="nil"/>
              <w:left w:val="nil"/>
              <w:bottom w:val="single" w:sz="4" w:space="0" w:color="auto"/>
              <w:right w:val="single" w:sz="4" w:space="0" w:color="auto"/>
            </w:tcBorders>
            <w:shd w:val="clear" w:color="auto" w:fill="auto"/>
            <w:noWrap/>
            <w:vAlign w:val="center"/>
            <w:hideMark/>
          </w:tcPr>
          <w:p w14:paraId="7FE918EA" w14:textId="77777777" w:rsidR="000D5E04" w:rsidRPr="00702255" w:rsidRDefault="000D5E04" w:rsidP="006A0594">
            <w:pPr>
              <w:jc w:val="center"/>
              <w:rPr>
                <w:rFonts w:eastAsia="Times New Roman"/>
                <w:color w:val="000000"/>
                <w:sz w:val="20"/>
                <w:szCs w:val="20"/>
              </w:rPr>
            </w:pPr>
            <w:r w:rsidRPr="00702255">
              <w:rPr>
                <w:rFonts w:eastAsia="Times New Roman"/>
                <w:color w:val="000000"/>
                <w:sz w:val="20"/>
                <w:szCs w:val="20"/>
              </w:rPr>
              <w:t>0,037</w:t>
            </w:r>
          </w:p>
        </w:tc>
      </w:tr>
    </w:tbl>
    <w:p w14:paraId="09AA9B81" w14:textId="0D44B313" w:rsidR="000D5E04" w:rsidRPr="00702255" w:rsidRDefault="000D5E04" w:rsidP="000D5E04">
      <w:pPr>
        <w:jc w:val="both"/>
        <w:rPr>
          <w:sz w:val="20"/>
          <w:szCs w:val="20"/>
        </w:rPr>
      </w:pPr>
      <w:r w:rsidRPr="00702255">
        <w:rPr>
          <w:sz w:val="20"/>
          <w:szCs w:val="20"/>
        </w:rPr>
        <w:t xml:space="preserve">Notas: </w:t>
      </w:r>
      <w:r w:rsidR="003434F6">
        <w:rPr>
          <w:sz w:val="20"/>
          <w:szCs w:val="20"/>
        </w:rPr>
        <w:t xml:space="preserve">   </w:t>
      </w:r>
      <w:r w:rsidRPr="00702255">
        <w:rPr>
          <w:sz w:val="20"/>
          <w:szCs w:val="20"/>
        </w:rPr>
        <w:t xml:space="preserve">(a) Los valores de </w:t>
      </w:r>
      <w:r w:rsidRPr="00702255">
        <w:rPr>
          <w:i/>
          <w:sz w:val="20"/>
          <w:szCs w:val="20"/>
        </w:rPr>
        <w:t>GS</w:t>
      </w:r>
      <w:r w:rsidRPr="00702255">
        <w:rPr>
          <w:sz w:val="20"/>
          <w:szCs w:val="20"/>
        </w:rPr>
        <w:t xml:space="preserve"> y la medida de eficiencia vienen estandarizados.</w:t>
      </w:r>
    </w:p>
    <w:p w14:paraId="711C5F0E" w14:textId="77777777" w:rsidR="000D5E04" w:rsidRPr="00702255" w:rsidRDefault="000D5E04" w:rsidP="000D5E04">
      <w:pPr>
        <w:tabs>
          <w:tab w:val="left" w:pos="1134"/>
        </w:tabs>
        <w:ind w:left="1134" w:hanging="425"/>
        <w:jc w:val="both"/>
        <w:rPr>
          <w:sz w:val="20"/>
          <w:szCs w:val="20"/>
        </w:rPr>
      </w:pPr>
      <w:r w:rsidRPr="00702255">
        <w:rPr>
          <w:sz w:val="20"/>
          <w:szCs w:val="20"/>
        </w:rPr>
        <w:t xml:space="preserve">(b) La media y la desviación estándar de </w:t>
      </w:r>
      <w:r w:rsidRPr="00702255">
        <w:rPr>
          <w:i/>
          <w:sz w:val="20"/>
          <w:szCs w:val="20"/>
        </w:rPr>
        <w:t>GS</w:t>
      </w:r>
      <w:r w:rsidRPr="00702255">
        <w:rPr>
          <w:sz w:val="20"/>
          <w:szCs w:val="20"/>
        </w:rPr>
        <w:t xml:space="preserve"> son </w:t>
      </w:r>
      <w:r w:rsidRPr="00702255">
        <w:rPr>
          <w:rFonts w:eastAsia="Times New Roman"/>
          <w:sz w:val="20"/>
          <w:szCs w:val="20"/>
        </w:rPr>
        <w:t xml:space="preserve">28,400 </w:t>
      </w:r>
      <w:r w:rsidRPr="00702255">
        <w:rPr>
          <w:sz w:val="20"/>
          <w:szCs w:val="20"/>
        </w:rPr>
        <w:t xml:space="preserve">y 3,279 respectivamente. Las del índice de eficiencia en </w:t>
      </w:r>
      <w:r w:rsidRPr="00702255">
        <w:rPr>
          <w:i/>
          <w:sz w:val="20"/>
          <w:szCs w:val="20"/>
        </w:rPr>
        <w:t>RAP</w:t>
      </w:r>
      <w:r w:rsidRPr="00702255">
        <w:rPr>
          <w:sz w:val="20"/>
          <w:szCs w:val="20"/>
        </w:rPr>
        <w:t xml:space="preserve"> y </w:t>
      </w:r>
      <w:r w:rsidRPr="00702255">
        <w:rPr>
          <w:i/>
          <w:sz w:val="20"/>
          <w:szCs w:val="20"/>
        </w:rPr>
        <w:t>RAG</w:t>
      </w:r>
      <w:r w:rsidRPr="00702255">
        <w:rPr>
          <w:sz w:val="20"/>
          <w:szCs w:val="20"/>
        </w:rPr>
        <w:t xml:space="preserve"> conjuntamente son 0,985 y 0,02. </w:t>
      </w:r>
    </w:p>
    <w:p w14:paraId="687788F4" w14:textId="02CC0D27" w:rsidR="000D5E04" w:rsidRPr="00702255" w:rsidRDefault="000D5E04" w:rsidP="00702255">
      <w:pPr>
        <w:tabs>
          <w:tab w:val="left" w:pos="1134"/>
        </w:tabs>
        <w:jc w:val="center"/>
        <w:rPr>
          <w:sz w:val="20"/>
          <w:szCs w:val="20"/>
        </w:rPr>
      </w:pPr>
      <w:r w:rsidRPr="00702255">
        <w:rPr>
          <w:sz w:val="20"/>
          <w:szCs w:val="20"/>
        </w:rPr>
        <w:t>Fuente: Elaboración propia a partir de datos de Eurostat, 2018.</w:t>
      </w:r>
    </w:p>
    <w:p w14:paraId="4CCDF5FF" w14:textId="1A79F4F7" w:rsidR="000D5E04" w:rsidRDefault="000D5E04" w:rsidP="000D5E04">
      <w:pPr>
        <w:tabs>
          <w:tab w:val="left" w:pos="1134"/>
        </w:tabs>
        <w:ind w:left="1134" w:hanging="425"/>
        <w:jc w:val="both"/>
        <w:rPr>
          <w:sz w:val="20"/>
          <w:szCs w:val="20"/>
        </w:rPr>
      </w:pPr>
    </w:p>
    <w:p w14:paraId="53B77668" w14:textId="77777777" w:rsidR="00702255" w:rsidRPr="00702255" w:rsidRDefault="00702255" w:rsidP="000D5E04">
      <w:pPr>
        <w:tabs>
          <w:tab w:val="left" w:pos="1134"/>
        </w:tabs>
        <w:ind w:left="1134" w:hanging="425"/>
        <w:jc w:val="both"/>
        <w:rPr>
          <w:sz w:val="20"/>
          <w:szCs w:val="20"/>
        </w:rPr>
      </w:pPr>
    </w:p>
    <w:p w14:paraId="14630D0F" w14:textId="35C8217C" w:rsidR="000D5E04" w:rsidRPr="00702255" w:rsidRDefault="000D5E04" w:rsidP="00702255">
      <w:pPr>
        <w:spacing w:after="240"/>
        <w:jc w:val="center"/>
        <w:rPr>
          <w:b/>
          <w:sz w:val="20"/>
          <w:szCs w:val="20"/>
        </w:rPr>
      </w:pPr>
      <w:r w:rsidRPr="00702255">
        <w:rPr>
          <w:b/>
          <w:sz w:val="20"/>
          <w:szCs w:val="20"/>
        </w:rPr>
        <w:t>Tabla 12. Centroides de los clústers identificados en la Tabla 11</w:t>
      </w:r>
      <w:r w:rsidR="00702255">
        <w:rPr>
          <w:b/>
          <w:sz w:val="20"/>
          <w:szCs w:val="20"/>
        </w:rPr>
        <w:t>.</w:t>
      </w:r>
    </w:p>
    <w:tbl>
      <w:tblPr>
        <w:tblW w:w="5000" w:type="pct"/>
        <w:jc w:val="center"/>
        <w:tblCellMar>
          <w:left w:w="70" w:type="dxa"/>
          <w:right w:w="70" w:type="dxa"/>
        </w:tblCellMar>
        <w:tblLook w:val="04A0" w:firstRow="1" w:lastRow="0" w:firstColumn="1" w:lastColumn="0" w:noHBand="0" w:noVBand="1"/>
      </w:tblPr>
      <w:tblGrid>
        <w:gridCol w:w="3248"/>
        <w:gridCol w:w="2881"/>
        <w:gridCol w:w="2881"/>
      </w:tblGrid>
      <w:tr w:rsidR="000D5E04" w:rsidRPr="003434F6" w14:paraId="766C069A"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AEA0" w14:textId="77777777" w:rsidR="000D5E04" w:rsidRPr="003434F6" w:rsidRDefault="000D5E04" w:rsidP="006A0594">
            <w:pPr>
              <w:jc w:val="center"/>
              <w:rPr>
                <w:rFonts w:eastAsia="Times New Roman"/>
                <w:b/>
                <w:sz w:val="20"/>
                <w:szCs w:val="20"/>
              </w:rPr>
            </w:pP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7D4FF01C" w14:textId="77777777" w:rsidR="000D5E04" w:rsidRPr="003434F6" w:rsidRDefault="000D5E04" w:rsidP="006A0594">
            <w:pPr>
              <w:jc w:val="center"/>
              <w:rPr>
                <w:rFonts w:eastAsia="Times New Roman"/>
                <w:b/>
                <w:i/>
                <w:sz w:val="20"/>
                <w:szCs w:val="20"/>
              </w:rPr>
            </w:pPr>
            <w:r w:rsidRPr="003434F6">
              <w:rPr>
                <w:rFonts w:eastAsia="Times New Roman"/>
                <w:b/>
                <w:i/>
                <w:sz w:val="20"/>
                <w:szCs w:val="20"/>
              </w:rPr>
              <w:t>GS</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7EBB6704" w14:textId="77777777" w:rsidR="000D5E04" w:rsidRPr="003434F6" w:rsidRDefault="000D5E04" w:rsidP="006A0594">
            <w:pPr>
              <w:jc w:val="center"/>
              <w:rPr>
                <w:rFonts w:eastAsia="Times New Roman"/>
                <w:b/>
                <w:sz w:val="20"/>
                <w:szCs w:val="20"/>
              </w:rPr>
            </w:pPr>
            <w:r w:rsidRPr="003434F6">
              <w:rPr>
                <w:rFonts w:eastAsia="Times New Roman"/>
                <w:b/>
                <w:sz w:val="20"/>
                <w:szCs w:val="20"/>
              </w:rPr>
              <w:t xml:space="preserve">Eficiencia en </w:t>
            </w:r>
            <w:r w:rsidRPr="003434F6">
              <w:rPr>
                <w:rFonts w:eastAsia="Times New Roman"/>
                <w:b/>
                <w:i/>
                <w:sz w:val="20"/>
                <w:szCs w:val="20"/>
              </w:rPr>
              <w:t>RAP</w:t>
            </w:r>
            <w:r w:rsidRPr="003434F6">
              <w:rPr>
                <w:rFonts w:eastAsia="Times New Roman"/>
                <w:b/>
                <w:sz w:val="20"/>
                <w:szCs w:val="20"/>
              </w:rPr>
              <w:t xml:space="preserve"> y </w:t>
            </w:r>
            <w:r w:rsidRPr="003434F6">
              <w:rPr>
                <w:rFonts w:eastAsia="Times New Roman"/>
                <w:b/>
                <w:i/>
                <w:sz w:val="20"/>
                <w:szCs w:val="20"/>
              </w:rPr>
              <w:t>RAG</w:t>
            </w:r>
          </w:p>
        </w:tc>
      </w:tr>
      <w:tr w:rsidR="000D5E04" w:rsidRPr="00702255" w14:paraId="0B4C4D8C"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29462F6B" w14:textId="77777777" w:rsidR="000D5E04" w:rsidRPr="00702255" w:rsidRDefault="000D5E04" w:rsidP="006A0594">
            <w:pPr>
              <w:jc w:val="center"/>
              <w:rPr>
                <w:rFonts w:eastAsia="Times New Roman"/>
                <w:sz w:val="20"/>
                <w:szCs w:val="20"/>
              </w:rPr>
            </w:pPr>
            <w:r w:rsidRPr="00702255">
              <w:rPr>
                <w:rFonts w:eastAsia="Times New Roman"/>
                <w:sz w:val="20"/>
                <w:szCs w:val="20"/>
              </w:rPr>
              <w:t>Centroide del clúster 1</w:t>
            </w:r>
          </w:p>
        </w:tc>
        <w:tc>
          <w:tcPr>
            <w:tcW w:w="1599" w:type="pct"/>
            <w:tcBorders>
              <w:top w:val="nil"/>
              <w:left w:val="nil"/>
              <w:bottom w:val="single" w:sz="4" w:space="0" w:color="auto"/>
              <w:right w:val="single" w:sz="4" w:space="0" w:color="auto"/>
            </w:tcBorders>
            <w:shd w:val="clear" w:color="auto" w:fill="auto"/>
            <w:noWrap/>
            <w:vAlign w:val="bottom"/>
          </w:tcPr>
          <w:p w14:paraId="0495DDE3" w14:textId="77777777" w:rsidR="000D5E04" w:rsidRPr="00702255" w:rsidRDefault="000D5E04" w:rsidP="006A0594">
            <w:pPr>
              <w:jc w:val="center"/>
              <w:rPr>
                <w:rFonts w:eastAsia="Times New Roman"/>
                <w:sz w:val="20"/>
                <w:szCs w:val="20"/>
              </w:rPr>
            </w:pPr>
            <w:r w:rsidRPr="00702255">
              <w:rPr>
                <w:rFonts w:eastAsia="Times New Roman"/>
                <w:sz w:val="20"/>
                <w:szCs w:val="20"/>
              </w:rPr>
              <w:t>0,674</w:t>
            </w:r>
          </w:p>
        </w:tc>
        <w:tc>
          <w:tcPr>
            <w:tcW w:w="1599" w:type="pct"/>
            <w:tcBorders>
              <w:top w:val="nil"/>
              <w:left w:val="nil"/>
              <w:bottom w:val="single" w:sz="4" w:space="0" w:color="auto"/>
              <w:right w:val="single" w:sz="4" w:space="0" w:color="auto"/>
            </w:tcBorders>
            <w:shd w:val="clear" w:color="auto" w:fill="auto"/>
            <w:noWrap/>
            <w:vAlign w:val="bottom"/>
          </w:tcPr>
          <w:p w14:paraId="046E01EB" w14:textId="77777777" w:rsidR="000D5E04" w:rsidRPr="00702255" w:rsidRDefault="000D5E04" w:rsidP="006A0594">
            <w:pPr>
              <w:jc w:val="center"/>
              <w:rPr>
                <w:rFonts w:eastAsia="Times New Roman"/>
                <w:sz w:val="20"/>
                <w:szCs w:val="20"/>
              </w:rPr>
            </w:pPr>
            <w:r w:rsidRPr="00702255">
              <w:rPr>
                <w:rFonts w:eastAsia="Times New Roman"/>
                <w:sz w:val="20"/>
                <w:szCs w:val="20"/>
              </w:rPr>
              <w:t>0,648</w:t>
            </w:r>
          </w:p>
        </w:tc>
      </w:tr>
      <w:tr w:rsidR="000D5E04" w:rsidRPr="00702255" w14:paraId="41E335E7" w14:textId="77777777" w:rsidTr="006A0594">
        <w:trPr>
          <w:trHeight w:val="300"/>
          <w:jc w:val="center"/>
        </w:trPr>
        <w:tc>
          <w:tcPr>
            <w:tcW w:w="1802" w:type="pct"/>
            <w:tcBorders>
              <w:top w:val="nil"/>
              <w:left w:val="single" w:sz="4" w:space="0" w:color="auto"/>
              <w:bottom w:val="single" w:sz="4" w:space="0" w:color="auto"/>
              <w:right w:val="single" w:sz="4" w:space="0" w:color="auto"/>
            </w:tcBorders>
            <w:shd w:val="clear" w:color="auto" w:fill="auto"/>
            <w:noWrap/>
            <w:vAlign w:val="bottom"/>
            <w:hideMark/>
          </w:tcPr>
          <w:p w14:paraId="094797AE" w14:textId="77777777" w:rsidR="000D5E04" w:rsidRPr="00702255" w:rsidRDefault="000D5E04" w:rsidP="006A0594">
            <w:pPr>
              <w:jc w:val="center"/>
              <w:rPr>
                <w:rFonts w:eastAsia="Times New Roman"/>
                <w:sz w:val="20"/>
                <w:szCs w:val="20"/>
              </w:rPr>
            </w:pPr>
            <w:r w:rsidRPr="00702255">
              <w:rPr>
                <w:rFonts w:eastAsia="Times New Roman"/>
                <w:sz w:val="20"/>
                <w:szCs w:val="20"/>
              </w:rPr>
              <w:t>Centroide del clúster 2</w:t>
            </w:r>
          </w:p>
        </w:tc>
        <w:tc>
          <w:tcPr>
            <w:tcW w:w="1599" w:type="pct"/>
            <w:tcBorders>
              <w:top w:val="nil"/>
              <w:left w:val="nil"/>
              <w:bottom w:val="single" w:sz="4" w:space="0" w:color="auto"/>
              <w:right w:val="single" w:sz="4" w:space="0" w:color="auto"/>
            </w:tcBorders>
            <w:shd w:val="clear" w:color="auto" w:fill="auto"/>
            <w:noWrap/>
            <w:vAlign w:val="bottom"/>
          </w:tcPr>
          <w:p w14:paraId="1A929AF2" w14:textId="77777777" w:rsidR="000D5E04" w:rsidRPr="00702255" w:rsidRDefault="000D5E04" w:rsidP="006A0594">
            <w:pPr>
              <w:jc w:val="center"/>
              <w:rPr>
                <w:rFonts w:eastAsia="Times New Roman"/>
                <w:sz w:val="20"/>
                <w:szCs w:val="20"/>
              </w:rPr>
            </w:pPr>
            <w:r w:rsidRPr="00702255">
              <w:rPr>
                <w:rFonts w:eastAsia="Times New Roman"/>
                <w:sz w:val="20"/>
                <w:szCs w:val="20"/>
              </w:rPr>
              <w:t>-1,843</w:t>
            </w:r>
          </w:p>
        </w:tc>
        <w:tc>
          <w:tcPr>
            <w:tcW w:w="1599" w:type="pct"/>
            <w:tcBorders>
              <w:top w:val="nil"/>
              <w:left w:val="nil"/>
              <w:bottom w:val="single" w:sz="4" w:space="0" w:color="auto"/>
              <w:right w:val="single" w:sz="4" w:space="0" w:color="auto"/>
            </w:tcBorders>
            <w:shd w:val="clear" w:color="auto" w:fill="auto"/>
            <w:noWrap/>
            <w:vAlign w:val="bottom"/>
          </w:tcPr>
          <w:p w14:paraId="054EFA41" w14:textId="77777777" w:rsidR="000D5E04" w:rsidRPr="00702255" w:rsidRDefault="000D5E04" w:rsidP="006A0594">
            <w:pPr>
              <w:jc w:val="center"/>
              <w:rPr>
                <w:rFonts w:eastAsia="Times New Roman"/>
                <w:sz w:val="20"/>
                <w:szCs w:val="20"/>
              </w:rPr>
            </w:pPr>
            <w:r w:rsidRPr="00702255">
              <w:rPr>
                <w:rFonts w:eastAsia="Times New Roman"/>
                <w:sz w:val="20"/>
                <w:szCs w:val="20"/>
              </w:rPr>
              <w:t>0,714</w:t>
            </w:r>
          </w:p>
        </w:tc>
      </w:tr>
      <w:tr w:rsidR="000D5E04" w:rsidRPr="00702255" w14:paraId="62A84488" w14:textId="77777777" w:rsidTr="006A0594">
        <w:trPr>
          <w:trHeight w:val="300"/>
          <w:jc w:val="center"/>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7B1CA" w14:textId="77777777" w:rsidR="000D5E04" w:rsidRPr="00702255" w:rsidRDefault="000D5E04" w:rsidP="006A0594">
            <w:pPr>
              <w:jc w:val="center"/>
              <w:rPr>
                <w:rFonts w:eastAsia="Times New Roman"/>
                <w:sz w:val="20"/>
                <w:szCs w:val="20"/>
              </w:rPr>
            </w:pPr>
            <w:r w:rsidRPr="00702255">
              <w:rPr>
                <w:rFonts w:eastAsia="Times New Roman"/>
                <w:sz w:val="20"/>
                <w:szCs w:val="20"/>
              </w:rPr>
              <w:t>Centroide del clúster 3</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0A8C682E" w14:textId="77777777" w:rsidR="000D5E04" w:rsidRPr="00702255" w:rsidRDefault="000D5E04" w:rsidP="006A0594">
            <w:pPr>
              <w:jc w:val="center"/>
              <w:rPr>
                <w:rFonts w:eastAsia="Times New Roman"/>
                <w:sz w:val="20"/>
                <w:szCs w:val="20"/>
              </w:rPr>
            </w:pPr>
            <w:r w:rsidRPr="00702255">
              <w:rPr>
                <w:rFonts w:eastAsia="Times New Roman"/>
                <w:sz w:val="20"/>
                <w:szCs w:val="20"/>
              </w:rPr>
              <w:t>-0,336</w:t>
            </w:r>
          </w:p>
        </w:tc>
        <w:tc>
          <w:tcPr>
            <w:tcW w:w="1599" w:type="pct"/>
            <w:tcBorders>
              <w:top w:val="single" w:sz="4" w:space="0" w:color="auto"/>
              <w:left w:val="nil"/>
              <w:bottom w:val="single" w:sz="4" w:space="0" w:color="auto"/>
              <w:right w:val="single" w:sz="4" w:space="0" w:color="auto"/>
            </w:tcBorders>
            <w:shd w:val="clear" w:color="auto" w:fill="auto"/>
            <w:noWrap/>
            <w:vAlign w:val="bottom"/>
          </w:tcPr>
          <w:p w14:paraId="47855F5D" w14:textId="77777777" w:rsidR="000D5E04" w:rsidRPr="00702255" w:rsidRDefault="000D5E04" w:rsidP="006A0594">
            <w:pPr>
              <w:jc w:val="center"/>
              <w:rPr>
                <w:rFonts w:eastAsia="Times New Roman"/>
                <w:sz w:val="20"/>
                <w:szCs w:val="20"/>
              </w:rPr>
            </w:pPr>
            <w:r w:rsidRPr="00702255">
              <w:rPr>
                <w:rFonts w:eastAsia="Times New Roman"/>
                <w:sz w:val="20"/>
                <w:szCs w:val="20"/>
              </w:rPr>
              <w:t>-1,325</w:t>
            </w:r>
          </w:p>
        </w:tc>
      </w:tr>
    </w:tbl>
    <w:p w14:paraId="6C59F5C3" w14:textId="500DE506" w:rsidR="000D5E04" w:rsidRPr="00702255" w:rsidRDefault="000D5E04" w:rsidP="000D5E04">
      <w:pPr>
        <w:jc w:val="both"/>
        <w:rPr>
          <w:sz w:val="20"/>
          <w:szCs w:val="20"/>
        </w:rPr>
      </w:pPr>
      <w:r w:rsidRPr="00702255">
        <w:rPr>
          <w:sz w:val="20"/>
          <w:szCs w:val="20"/>
        </w:rPr>
        <w:t xml:space="preserve">Notas: </w:t>
      </w:r>
      <w:r w:rsidR="003434F6">
        <w:rPr>
          <w:sz w:val="20"/>
          <w:szCs w:val="20"/>
        </w:rPr>
        <w:t xml:space="preserve">   </w:t>
      </w:r>
      <w:r w:rsidRPr="00702255">
        <w:rPr>
          <w:sz w:val="20"/>
          <w:szCs w:val="20"/>
        </w:rPr>
        <w:t xml:space="preserve">(a) Los valores de </w:t>
      </w:r>
      <w:r w:rsidRPr="00702255">
        <w:rPr>
          <w:i/>
          <w:sz w:val="20"/>
          <w:szCs w:val="20"/>
        </w:rPr>
        <w:t>GS</w:t>
      </w:r>
      <w:r w:rsidRPr="00702255">
        <w:rPr>
          <w:sz w:val="20"/>
          <w:szCs w:val="20"/>
        </w:rPr>
        <w:t xml:space="preserve"> y la medida de eficiencia vienen estandarizados.</w:t>
      </w:r>
    </w:p>
    <w:p w14:paraId="52362A4E" w14:textId="77777777" w:rsidR="000D5E04" w:rsidRPr="00702255" w:rsidRDefault="000D5E04" w:rsidP="000D5E04">
      <w:pPr>
        <w:tabs>
          <w:tab w:val="left" w:pos="1134"/>
        </w:tabs>
        <w:ind w:left="1134" w:hanging="425"/>
        <w:jc w:val="both"/>
        <w:rPr>
          <w:sz w:val="20"/>
          <w:szCs w:val="20"/>
        </w:rPr>
      </w:pPr>
      <w:r w:rsidRPr="00702255">
        <w:rPr>
          <w:sz w:val="20"/>
          <w:szCs w:val="20"/>
        </w:rPr>
        <w:t xml:space="preserve">(b) La media y la desviación estándar de </w:t>
      </w:r>
      <w:r w:rsidRPr="00702255">
        <w:rPr>
          <w:i/>
          <w:sz w:val="20"/>
          <w:szCs w:val="20"/>
        </w:rPr>
        <w:t>GS</w:t>
      </w:r>
      <w:r w:rsidRPr="00702255">
        <w:rPr>
          <w:sz w:val="20"/>
          <w:szCs w:val="20"/>
        </w:rPr>
        <w:t xml:space="preserve"> son </w:t>
      </w:r>
      <w:r w:rsidRPr="00702255">
        <w:rPr>
          <w:rFonts w:eastAsia="Times New Roman"/>
          <w:sz w:val="20"/>
          <w:szCs w:val="20"/>
        </w:rPr>
        <w:t xml:space="preserve">28,400 </w:t>
      </w:r>
      <w:r w:rsidRPr="00702255">
        <w:rPr>
          <w:sz w:val="20"/>
          <w:szCs w:val="20"/>
        </w:rPr>
        <w:t xml:space="preserve">y 3,279 respectivamente. Las del índice de eficiencia en </w:t>
      </w:r>
      <w:r w:rsidRPr="00702255">
        <w:rPr>
          <w:i/>
          <w:sz w:val="20"/>
          <w:szCs w:val="20"/>
        </w:rPr>
        <w:t>RAP</w:t>
      </w:r>
      <w:r w:rsidRPr="00702255">
        <w:rPr>
          <w:sz w:val="20"/>
          <w:szCs w:val="20"/>
        </w:rPr>
        <w:t xml:space="preserve"> y </w:t>
      </w:r>
      <w:r w:rsidRPr="00702255">
        <w:rPr>
          <w:i/>
          <w:sz w:val="20"/>
          <w:szCs w:val="20"/>
        </w:rPr>
        <w:t>RAG</w:t>
      </w:r>
      <w:r w:rsidRPr="00702255">
        <w:rPr>
          <w:sz w:val="20"/>
          <w:szCs w:val="20"/>
        </w:rPr>
        <w:t xml:space="preserve"> conjuntamente son 0,985 y 0,02.</w:t>
      </w:r>
    </w:p>
    <w:p w14:paraId="0301E4E8" w14:textId="0CFFE34D" w:rsidR="000D5E04" w:rsidRPr="00702255" w:rsidRDefault="000D5E04" w:rsidP="00702255">
      <w:pPr>
        <w:tabs>
          <w:tab w:val="left" w:pos="1134"/>
        </w:tabs>
        <w:jc w:val="center"/>
        <w:rPr>
          <w:sz w:val="20"/>
          <w:szCs w:val="20"/>
        </w:rPr>
      </w:pPr>
      <w:r w:rsidRPr="00702255">
        <w:rPr>
          <w:sz w:val="20"/>
          <w:szCs w:val="20"/>
        </w:rPr>
        <w:t>Fuente: Elaboración propia a partir de datos de Eurostat, 2018.</w:t>
      </w:r>
    </w:p>
    <w:p w14:paraId="7AB74157" w14:textId="77777777" w:rsidR="000D5E04" w:rsidRPr="00AB4DC6" w:rsidRDefault="000D5E04" w:rsidP="000D5E04">
      <w:pPr>
        <w:jc w:val="both"/>
        <w:rPr>
          <w:rFonts w:ascii="Cambria" w:hAnsi="Cambria"/>
          <w:sz w:val="20"/>
          <w:szCs w:val="20"/>
        </w:rPr>
      </w:pPr>
    </w:p>
    <w:p w14:paraId="19F479D2" w14:textId="77777777" w:rsidR="00BF0600" w:rsidRDefault="00BF0600" w:rsidP="00C63E8D">
      <w:pPr>
        <w:spacing w:after="240"/>
        <w:jc w:val="both"/>
        <w:rPr>
          <w:rFonts w:eastAsia="Cambria"/>
          <w:sz w:val="20"/>
          <w:szCs w:val="24"/>
          <w:lang w:eastAsia="en-US"/>
        </w:rPr>
      </w:pPr>
    </w:p>
    <w:p w14:paraId="16411737" w14:textId="5E7D4281" w:rsidR="00105C17" w:rsidRDefault="00105C17" w:rsidP="00105C17">
      <w:pPr>
        <w:spacing w:after="240"/>
        <w:jc w:val="both"/>
        <w:rPr>
          <w:b/>
        </w:rPr>
      </w:pPr>
      <w:r w:rsidRPr="00105C17">
        <w:rPr>
          <w:b/>
        </w:rPr>
        <w:t>5. Conclusiones</w:t>
      </w:r>
      <w:r>
        <w:rPr>
          <w:b/>
        </w:rPr>
        <w:t>.</w:t>
      </w:r>
    </w:p>
    <w:p w14:paraId="066D318C" w14:textId="77777777" w:rsidR="004959DF" w:rsidRPr="00105C17" w:rsidRDefault="004959DF" w:rsidP="00105C17">
      <w:pPr>
        <w:spacing w:after="240"/>
        <w:jc w:val="both"/>
        <w:rPr>
          <w:b/>
        </w:rPr>
      </w:pPr>
    </w:p>
    <w:p w14:paraId="3CE0DE53" w14:textId="77777777" w:rsidR="00105C17" w:rsidRPr="00105C17" w:rsidRDefault="00105C17" w:rsidP="00105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eastAsia="Times New Roman"/>
        </w:rPr>
      </w:pPr>
      <w:r w:rsidRPr="00105C17">
        <w:rPr>
          <w:rFonts w:eastAsia="Times New Roman"/>
        </w:rPr>
        <w:t xml:space="preserve">En este trabajo evaluamos la eficiencia del gasto social en la reducción de los índices de vulnerabilidad de los países de la EU15 combinando la metodología </w:t>
      </w:r>
      <w:r w:rsidRPr="00105C17">
        <w:rPr>
          <w:rFonts w:eastAsia="Times New Roman"/>
          <w:i/>
        </w:rPr>
        <w:t>Data Envelopment Analysis</w:t>
      </w:r>
      <w:r w:rsidRPr="00105C17">
        <w:rPr>
          <w:rFonts w:eastAsia="Times New Roman"/>
        </w:rPr>
        <w:t xml:space="preserve"> (DEA), que permite medir el grado de eficiencia de los países, con un análisis clúster borroso para detectar patrones en el binomio volumen de gasto social/eficiencia del gasto social. Este análisis nos permite identificar si la efectividad del gasto social tiene relación con la clasificación comúnmente aceptada de Estados de Bienestar (Esping-Andersen, 1990; Ferrera, 1998; 2005): nórdico, continental, anglosajón y mediterráneo.</w:t>
      </w:r>
    </w:p>
    <w:p w14:paraId="19BDE6A1" w14:textId="5692F683" w:rsidR="00105C17" w:rsidRPr="00105C17" w:rsidRDefault="00105C17" w:rsidP="00105C17">
      <w:pPr>
        <w:spacing w:after="240"/>
        <w:ind w:firstLine="567"/>
        <w:jc w:val="both"/>
      </w:pPr>
      <w:r w:rsidRPr="00105C17">
        <w:lastRenderedPageBreak/>
        <w:t>En general, los países con modelo de EB nórdico suelen ser eficientes tanto en la reducción de la pobreza como en la de la desigualdad. La única excepción sería Suecia y, en mucho menor grado, Dinamarca que se alinean de forma clara en el primer estado y más residual en el segundo, en el grupo de países escasamente eficientes respecto a la reducción de la pobreza. Los países con EB continental suelen ser eficientes en la reducción de los índices de vulnerabilidad, pero se observan más excepciones que en el caso de los países nórdicos, sobre todo en la reducción de la pobreza. Así</w:t>
      </w:r>
      <w:r w:rsidR="007E6B73">
        <w:t>,</w:t>
      </w:r>
      <w:r w:rsidRPr="00105C17">
        <w:t xml:space="preserve"> Bélgica, Alemania y, de forma no tan clara, Austria, se incluyen en el grupo de los países no eficientes en la reducción del riesgo de pobreza. En cuanto a la disminución del índice de Gini, Francia y Alemania se alinean en el grupo de países escasamente eficientes. No obstante, cuando consideramos la eficiencia en la reducción de la pobreza y la desigualdad conjuntamente, ningún país con EB nórdico o continental se agrupa en el clúster de estados no eficientes. </w:t>
      </w:r>
    </w:p>
    <w:p w14:paraId="7244CCF8" w14:textId="77777777" w:rsidR="00105C17" w:rsidRPr="00105C17" w:rsidRDefault="00105C17" w:rsidP="00105C17">
      <w:pPr>
        <w:spacing w:after="240"/>
        <w:ind w:firstLine="567"/>
        <w:jc w:val="both"/>
      </w:pPr>
      <w:r w:rsidRPr="00105C17">
        <w:t>Podemos observar que el grupo de países mediterráneos (Italia, España, Grecia y Portugal) se manifiestan consistentemente ineficientes con independencia de que realicemos el análisis en la reducción de la pobreza, de la reducción del índice de Gini o de la reducción de ambos conjuntamente. Forman, de hecho, el núcleo del grupo de países ineficientes en los tres análisis clúster realizados. El comportamiento de los dos países con estado de bienestar anglosajón, Irlanda y Reino Unido, es contradictorio. Irlanda se manifiesta claramente eficiente en la reducción de todos los índices de vulnerabilidad mientras que Reino Unido se agrupa en todos los análisis clúster con los países con EB mediterráneo.</w:t>
      </w:r>
    </w:p>
    <w:p w14:paraId="04DF38C5" w14:textId="7DC6466D" w:rsidR="0037449D" w:rsidRPr="00F977B5" w:rsidRDefault="0037449D" w:rsidP="0037449D">
      <w:pPr>
        <w:keepNext/>
        <w:keepLines/>
        <w:outlineLvl w:val="0"/>
        <w:rPr>
          <w:rFonts w:eastAsia="Times New Roman"/>
          <w:b/>
          <w:bCs/>
          <w:color w:val="000000"/>
          <w:sz w:val="24"/>
          <w:szCs w:val="28"/>
          <w:lang w:eastAsia="en-US"/>
        </w:rPr>
      </w:pPr>
      <w:bookmarkStart w:id="3" w:name="references"/>
      <w:bookmarkEnd w:id="3"/>
    </w:p>
    <w:sdt>
      <w:sdtPr>
        <w:rPr>
          <w:sz w:val="24"/>
          <w:szCs w:val="24"/>
        </w:rPr>
        <w:id w:val="-573587230"/>
        <w:bibliography/>
      </w:sdtPr>
      <w:sdtEndPr>
        <w:rPr>
          <w:sz w:val="22"/>
          <w:szCs w:val="22"/>
        </w:rPr>
      </w:sdtEndPr>
      <w:sdtContent>
        <w:p w14:paraId="4512F54B" w14:textId="788FCAEE" w:rsidR="00105C17" w:rsidRPr="00F977B5" w:rsidRDefault="00563E85" w:rsidP="00105C17">
          <w:pPr>
            <w:jc w:val="both"/>
            <w:rPr>
              <w:rFonts w:eastAsia="Calibri"/>
              <w:b/>
              <w:sz w:val="24"/>
              <w:szCs w:val="24"/>
              <w:lang w:eastAsia="en-US"/>
            </w:rPr>
          </w:pPr>
          <w:r w:rsidRPr="00F977B5">
            <w:rPr>
              <w:rFonts w:eastAsia="Calibri"/>
              <w:b/>
              <w:sz w:val="24"/>
              <w:szCs w:val="24"/>
              <w:lang w:eastAsia="en-US"/>
            </w:rPr>
            <w:t>Referencias</w:t>
          </w:r>
        </w:p>
        <w:p w14:paraId="3F68F942" w14:textId="77777777" w:rsidR="00563E85" w:rsidRPr="00F977B5" w:rsidRDefault="00563E85" w:rsidP="00563E85">
          <w:pPr>
            <w:spacing w:after="200" w:line="276" w:lineRule="auto"/>
            <w:ind w:left="284" w:hanging="284"/>
            <w:jc w:val="both"/>
            <w:rPr>
              <w:rFonts w:eastAsia="Times New Roman"/>
              <w:sz w:val="24"/>
              <w:szCs w:val="24"/>
            </w:rPr>
          </w:pPr>
        </w:p>
        <w:p w14:paraId="0359207B" w14:textId="3F4E14E8" w:rsidR="00105C17" w:rsidRPr="00105C17" w:rsidRDefault="00105C17" w:rsidP="00563E85">
          <w:pPr>
            <w:spacing w:after="200" w:line="276" w:lineRule="auto"/>
            <w:ind w:left="284" w:hanging="284"/>
            <w:jc w:val="both"/>
            <w:rPr>
              <w:rFonts w:eastAsia="Calibri"/>
              <w:lang w:val="en-US" w:eastAsia="en-US"/>
            </w:rPr>
          </w:pPr>
          <w:r w:rsidRPr="00105C17">
            <w:rPr>
              <w:rFonts w:eastAsia="Calibri"/>
              <w:shd w:val="clear" w:color="auto" w:fill="FFFFFF"/>
              <w:lang w:eastAsia="en-US"/>
            </w:rPr>
            <w:t>Afonso, A.</w:t>
          </w:r>
          <w:r w:rsidR="006A0594" w:rsidRPr="006A0594">
            <w:rPr>
              <w:rFonts w:eastAsia="Calibri"/>
              <w:shd w:val="clear" w:color="auto" w:fill="FFFFFF"/>
              <w:lang w:eastAsia="en-US"/>
            </w:rPr>
            <w:t>, &amp;</w:t>
          </w:r>
          <w:r w:rsidRPr="00105C17">
            <w:rPr>
              <w:rFonts w:eastAsia="Calibri"/>
              <w:shd w:val="clear" w:color="auto" w:fill="FFFFFF"/>
              <w:lang w:eastAsia="en-US"/>
            </w:rPr>
            <w:t xml:space="preserve"> Aubyn, M.S. (2006)</w:t>
          </w:r>
          <w:r w:rsidR="006A0594" w:rsidRPr="006A0594">
            <w:rPr>
              <w:rFonts w:eastAsia="Calibri"/>
              <w:shd w:val="clear" w:color="auto" w:fill="FFFFFF"/>
              <w:lang w:eastAsia="en-US"/>
            </w:rPr>
            <w:t xml:space="preserve">. </w:t>
          </w:r>
          <w:r w:rsidRPr="00105C17">
            <w:rPr>
              <w:rFonts w:eastAsia="Calibri"/>
              <w:shd w:val="clear" w:color="auto" w:fill="FFFFFF"/>
              <w:lang w:val="en-US" w:eastAsia="en-US"/>
            </w:rPr>
            <w:t>Cross-country efficiency of secondary education provision: A semi-parametric analysis with non-discretionary inputs</w:t>
          </w:r>
          <w:r w:rsidR="006A0594" w:rsidRPr="006A0594">
            <w:rPr>
              <w:rFonts w:eastAsia="Calibri"/>
              <w:shd w:val="clear" w:color="auto" w:fill="FFFFFF"/>
              <w:lang w:val="en-US" w:eastAsia="en-US"/>
            </w:rPr>
            <w:t xml:space="preserve">. </w:t>
          </w:r>
          <w:r w:rsidRPr="00105C17">
            <w:rPr>
              <w:rFonts w:eastAsia="Calibri"/>
              <w:i/>
              <w:iCs/>
              <w:shd w:val="clear" w:color="auto" w:fill="FFFFFF"/>
              <w:lang w:val="en-US" w:eastAsia="en-US"/>
            </w:rPr>
            <w:t>Economic modelling</w:t>
          </w:r>
          <w:r w:rsidRPr="00105C17">
            <w:rPr>
              <w:rFonts w:eastAsia="Calibri"/>
              <w:shd w:val="clear" w:color="auto" w:fill="FFFFFF"/>
              <w:lang w:val="en-US" w:eastAsia="en-US"/>
            </w:rPr>
            <w:t>, </w:t>
          </w:r>
          <w:r w:rsidRPr="00105C17">
            <w:rPr>
              <w:rFonts w:eastAsia="Calibri"/>
              <w:i/>
              <w:iCs/>
              <w:shd w:val="clear" w:color="auto" w:fill="FFFFFF"/>
              <w:lang w:val="en-US" w:eastAsia="en-US"/>
            </w:rPr>
            <w:t>23</w:t>
          </w:r>
          <w:r w:rsidRPr="00105C17">
            <w:rPr>
              <w:rFonts w:eastAsia="Calibri"/>
              <w:shd w:val="clear" w:color="auto" w:fill="FFFFFF"/>
              <w:lang w:val="en-US" w:eastAsia="en-US"/>
            </w:rPr>
            <w:t>(3), 476-491.</w:t>
          </w:r>
        </w:p>
        <w:p w14:paraId="0D3FC72F" w14:textId="007DC4B0" w:rsidR="00105C17" w:rsidRPr="00105C17" w:rsidRDefault="00105C17" w:rsidP="00563E85">
          <w:pPr>
            <w:spacing w:after="200" w:line="276" w:lineRule="auto"/>
            <w:ind w:left="284" w:hanging="284"/>
            <w:jc w:val="both"/>
            <w:rPr>
              <w:rFonts w:eastAsia="Calibri"/>
              <w:shd w:val="clear" w:color="auto" w:fill="FFFFFF"/>
              <w:lang w:val="en-US" w:eastAsia="en-US"/>
            </w:rPr>
          </w:pPr>
          <w:r w:rsidRPr="00105C17">
            <w:rPr>
              <w:rFonts w:eastAsia="Calibri"/>
              <w:shd w:val="clear" w:color="auto" w:fill="FFFFFF"/>
              <w:lang w:val="en-US" w:eastAsia="en-US"/>
            </w:rPr>
            <w:t>Afonso, A.</w:t>
          </w:r>
          <w:r w:rsidR="006A0594" w:rsidRPr="006A0594">
            <w:rPr>
              <w:rFonts w:eastAsia="Calibri"/>
              <w:shd w:val="clear" w:color="auto" w:fill="FFFFFF"/>
              <w:lang w:val="en-GB" w:eastAsia="en-US"/>
            </w:rPr>
            <w:t>, &amp;</w:t>
          </w:r>
          <w:r w:rsidRPr="00105C17">
            <w:rPr>
              <w:rFonts w:eastAsia="Calibri"/>
              <w:shd w:val="clear" w:color="auto" w:fill="FFFFFF"/>
              <w:lang w:val="en-US" w:eastAsia="en-US"/>
            </w:rPr>
            <w:t xml:space="preserve"> St Aubyn, M. (2004)</w:t>
          </w:r>
          <w:r w:rsidR="006A0594" w:rsidRPr="006A0594">
            <w:rPr>
              <w:rFonts w:eastAsia="Calibri"/>
              <w:shd w:val="clear" w:color="auto" w:fill="FFFFFF"/>
              <w:lang w:val="en-US" w:eastAsia="en-US"/>
            </w:rPr>
            <w:t xml:space="preserve">. </w:t>
          </w:r>
          <w:r w:rsidRPr="00105C17">
            <w:rPr>
              <w:rFonts w:eastAsia="Calibri"/>
              <w:shd w:val="clear" w:color="auto" w:fill="FFFFFF"/>
              <w:lang w:val="en-US" w:eastAsia="en-US"/>
            </w:rPr>
            <w:t>Non-parametric approaches to education and health expenditure efficiency in OECD countries</w:t>
          </w:r>
          <w:r w:rsidR="006A0594" w:rsidRPr="006A0594">
            <w:rPr>
              <w:rFonts w:eastAsia="Calibri"/>
              <w:shd w:val="clear" w:color="auto" w:fill="FFFFFF"/>
              <w:lang w:val="en-US" w:eastAsia="en-US"/>
            </w:rPr>
            <w:t xml:space="preserve">. </w:t>
          </w:r>
          <w:r w:rsidRPr="00105C17">
            <w:rPr>
              <w:rFonts w:eastAsia="Calibri"/>
              <w:i/>
              <w:shd w:val="clear" w:color="auto" w:fill="FFFFFF"/>
              <w:lang w:val="en-US" w:eastAsia="en-US"/>
            </w:rPr>
            <w:t>Journal of Applied Economics</w:t>
          </w:r>
          <w:r w:rsidRPr="00105C17">
            <w:rPr>
              <w:rFonts w:eastAsia="Calibri"/>
              <w:shd w:val="clear" w:color="auto" w:fill="FFFFFF"/>
              <w:lang w:val="en-US" w:eastAsia="en-US"/>
            </w:rPr>
            <w:t xml:space="preserve">, </w:t>
          </w:r>
          <w:r w:rsidRPr="00105C17">
            <w:rPr>
              <w:rFonts w:eastAsia="Calibri"/>
              <w:i/>
              <w:shd w:val="clear" w:color="auto" w:fill="FFFFFF"/>
              <w:lang w:val="en-US" w:eastAsia="en-US"/>
            </w:rPr>
            <w:t>8</w:t>
          </w:r>
          <w:r w:rsidRPr="00105C17">
            <w:rPr>
              <w:rFonts w:eastAsia="Calibri"/>
              <w:shd w:val="clear" w:color="auto" w:fill="FFFFFF"/>
              <w:lang w:val="en-US" w:eastAsia="en-US"/>
            </w:rPr>
            <w:t>(2), 227-246.</w:t>
          </w:r>
        </w:p>
        <w:p w14:paraId="62C907E6" w14:textId="2954AD9C" w:rsidR="00105C17" w:rsidRPr="00105C17" w:rsidRDefault="00105C17" w:rsidP="00563E85">
          <w:pPr>
            <w:spacing w:after="200" w:line="276" w:lineRule="auto"/>
            <w:ind w:left="284" w:hanging="284"/>
            <w:jc w:val="both"/>
            <w:rPr>
              <w:rFonts w:eastAsia="Calibri"/>
              <w:lang w:val="en-US" w:eastAsia="en-US"/>
            </w:rPr>
          </w:pPr>
          <w:r w:rsidRPr="00105C17">
            <w:rPr>
              <w:rFonts w:eastAsia="Calibri"/>
              <w:shd w:val="clear" w:color="auto" w:fill="FFFFFF"/>
              <w:lang w:val="en-US" w:eastAsia="en-US"/>
            </w:rPr>
            <w:t>Afonso, A., Schuknecht, L.</w:t>
          </w:r>
          <w:r w:rsidR="006A0594" w:rsidRPr="006A0594">
            <w:rPr>
              <w:rFonts w:eastAsia="Calibri"/>
              <w:shd w:val="clear" w:color="auto" w:fill="FFFFFF"/>
              <w:lang w:val="en-GB" w:eastAsia="en-US"/>
            </w:rPr>
            <w:t>, &amp;</w:t>
          </w:r>
          <w:r w:rsidRPr="00105C17">
            <w:rPr>
              <w:rFonts w:eastAsia="Calibri"/>
              <w:shd w:val="clear" w:color="auto" w:fill="FFFFFF"/>
              <w:lang w:val="en-US" w:eastAsia="en-US"/>
            </w:rPr>
            <w:t xml:space="preserve"> Tanzi, V. (2010)</w:t>
          </w:r>
          <w:r w:rsidR="006A0594">
            <w:rPr>
              <w:rFonts w:eastAsia="Calibri"/>
              <w:shd w:val="clear" w:color="auto" w:fill="FFFFFF"/>
              <w:lang w:val="en-US" w:eastAsia="en-US"/>
            </w:rPr>
            <w:t xml:space="preserve">. </w:t>
          </w:r>
          <w:r w:rsidRPr="00105C17">
            <w:rPr>
              <w:rFonts w:eastAsia="Calibri"/>
              <w:shd w:val="clear" w:color="auto" w:fill="FFFFFF"/>
              <w:lang w:val="en-US" w:eastAsia="en-US"/>
            </w:rPr>
            <w:t>Income distribution determinants and public spending efficiency</w:t>
          </w:r>
          <w:r w:rsidR="006A0594">
            <w:rPr>
              <w:rFonts w:eastAsia="Calibri"/>
              <w:shd w:val="clear" w:color="auto" w:fill="FFFFFF"/>
              <w:lang w:val="en-US" w:eastAsia="en-US"/>
            </w:rPr>
            <w:t>.</w:t>
          </w:r>
          <w:r w:rsidRPr="00105C17">
            <w:rPr>
              <w:rFonts w:eastAsia="Calibri"/>
              <w:shd w:val="clear" w:color="auto" w:fill="FFFFFF"/>
              <w:lang w:val="en-US" w:eastAsia="en-US"/>
            </w:rPr>
            <w:t> </w:t>
          </w:r>
          <w:r w:rsidRPr="00105C17">
            <w:rPr>
              <w:rFonts w:eastAsia="Calibri"/>
              <w:i/>
              <w:iCs/>
              <w:shd w:val="clear" w:color="auto" w:fill="FFFFFF"/>
              <w:lang w:val="en-US" w:eastAsia="en-US"/>
            </w:rPr>
            <w:t>The Journal of Economic Inequality</w:t>
          </w:r>
          <w:r w:rsidRPr="00105C17">
            <w:rPr>
              <w:rFonts w:eastAsia="Calibri"/>
              <w:shd w:val="clear" w:color="auto" w:fill="FFFFFF"/>
              <w:lang w:val="en-US" w:eastAsia="en-US"/>
            </w:rPr>
            <w:t>, </w:t>
          </w:r>
          <w:r w:rsidRPr="00105C17">
            <w:rPr>
              <w:rFonts w:eastAsia="Calibri"/>
              <w:i/>
              <w:iCs/>
              <w:shd w:val="clear" w:color="auto" w:fill="FFFFFF"/>
              <w:lang w:val="en-US" w:eastAsia="en-US"/>
            </w:rPr>
            <w:t>8</w:t>
          </w:r>
          <w:r w:rsidRPr="00105C17">
            <w:rPr>
              <w:rFonts w:eastAsia="Calibri"/>
              <w:shd w:val="clear" w:color="auto" w:fill="FFFFFF"/>
              <w:lang w:val="en-US" w:eastAsia="en-US"/>
            </w:rPr>
            <w:t>(3), 367-389.</w:t>
          </w:r>
        </w:p>
        <w:p w14:paraId="5540FABD" w14:textId="7ECE025A"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Agasisti, T.</w:t>
          </w:r>
          <w:r w:rsidR="006A0594" w:rsidRPr="006A0594">
            <w:rPr>
              <w:rFonts w:eastAsia="Calibri"/>
              <w:shd w:val="clear" w:color="auto" w:fill="FFFFFF"/>
              <w:lang w:val="en-GB" w:eastAsia="en-US"/>
            </w:rPr>
            <w:t>, &amp;</w:t>
          </w:r>
          <w:r w:rsidRPr="00105C17">
            <w:rPr>
              <w:rFonts w:eastAsia="Calibri"/>
              <w:lang w:val="en-US" w:eastAsia="en-US"/>
            </w:rPr>
            <w:t xml:space="preserve"> Johnes, G. (2010)</w:t>
          </w:r>
          <w:r w:rsidR="006A0594">
            <w:rPr>
              <w:rFonts w:eastAsia="Calibri"/>
              <w:lang w:val="en-US" w:eastAsia="en-US"/>
            </w:rPr>
            <w:t xml:space="preserve">. </w:t>
          </w:r>
          <w:r w:rsidRPr="00105C17">
            <w:rPr>
              <w:rFonts w:eastAsia="Calibri"/>
              <w:lang w:val="en-US" w:eastAsia="en-US"/>
            </w:rPr>
            <w:t>Heterogeneity and the evaluation of efficiency: the case of Italian universities</w:t>
          </w:r>
          <w:r w:rsidR="006A0594">
            <w:rPr>
              <w:rFonts w:eastAsia="Calibri"/>
              <w:shd w:val="clear" w:color="auto" w:fill="FFFFFF"/>
              <w:lang w:val="en-US" w:eastAsia="en-US"/>
            </w:rPr>
            <w:t xml:space="preserve">. </w:t>
          </w:r>
          <w:r w:rsidRPr="00105C17">
            <w:rPr>
              <w:rFonts w:eastAsia="Calibri"/>
              <w:lang w:val="en-US" w:eastAsia="en-US"/>
            </w:rPr>
            <w:t xml:space="preserve"> </w:t>
          </w:r>
          <w:r w:rsidRPr="00105C17">
            <w:rPr>
              <w:rFonts w:eastAsia="Calibri"/>
              <w:i/>
              <w:iCs/>
              <w:lang w:val="en-US" w:eastAsia="en-US"/>
            </w:rPr>
            <w:t>Applied Economics</w:t>
          </w:r>
          <w:r w:rsidRPr="00105C17">
            <w:rPr>
              <w:rFonts w:eastAsia="Calibri"/>
              <w:lang w:val="en-US" w:eastAsia="en-US"/>
            </w:rPr>
            <w:t xml:space="preserve">, </w:t>
          </w:r>
          <w:r w:rsidRPr="00105C17">
            <w:rPr>
              <w:rFonts w:eastAsia="Calibri"/>
              <w:i/>
              <w:iCs/>
              <w:lang w:val="en-US" w:eastAsia="en-US"/>
            </w:rPr>
            <w:t>42</w:t>
          </w:r>
          <w:r w:rsidRPr="00105C17">
            <w:rPr>
              <w:rFonts w:eastAsia="Calibri"/>
              <w:lang w:val="en-US" w:eastAsia="en-US"/>
            </w:rPr>
            <w:t>(11), 1365-1375.</w:t>
          </w:r>
        </w:p>
        <w:p w14:paraId="38E00BFD" w14:textId="7FD48589" w:rsidR="00105C17" w:rsidRPr="00105C17" w:rsidRDefault="00105C17" w:rsidP="00563E85">
          <w:pPr>
            <w:spacing w:after="200" w:line="276" w:lineRule="auto"/>
            <w:ind w:left="284" w:hanging="284"/>
            <w:jc w:val="both"/>
            <w:rPr>
              <w:rFonts w:eastAsia="Calibri"/>
              <w:shd w:val="clear" w:color="auto" w:fill="FFFFFF"/>
              <w:lang w:val="en-US" w:eastAsia="en-US"/>
            </w:rPr>
          </w:pPr>
          <w:r w:rsidRPr="00105C17">
            <w:rPr>
              <w:rFonts w:eastAsia="Calibri"/>
              <w:shd w:val="clear" w:color="auto" w:fill="FFFFFF"/>
              <w:lang w:val="en-US" w:eastAsia="en-US"/>
            </w:rPr>
            <w:t>Andersson, C., Antelius, J., Månsson, J.</w:t>
          </w:r>
          <w:r w:rsidR="006A0594" w:rsidRPr="006A0594">
            <w:rPr>
              <w:rFonts w:eastAsia="Calibri"/>
              <w:shd w:val="clear" w:color="auto" w:fill="FFFFFF"/>
              <w:lang w:val="en-GB" w:eastAsia="en-US"/>
            </w:rPr>
            <w:t>, &amp;</w:t>
          </w:r>
          <w:r w:rsidRPr="00105C17">
            <w:rPr>
              <w:rFonts w:eastAsia="Calibri"/>
              <w:shd w:val="clear" w:color="auto" w:fill="FFFFFF"/>
              <w:lang w:val="en-US" w:eastAsia="en-US"/>
            </w:rPr>
            <w:t xml:space="preserve"> Sund, K. (2017)</w:t>
          </w:r>
          <w:r w:rsidR="006A0594">
            <w:rPr>
              <w:rFonts w:eastAsia="Calibri"/>
              <w:shd w:val="clear" w:color="auto" w:fill="FFFFFF"/>
              <w:lang w:val="en-US" w:eastAsia="en-US"/>
            </w:rPr>
            <w:t xml:space="preserve">. </w:t>
          </w:r>
          <w:r w:rsidRPr="00105C17">
            <w:rPr>
              <w:rFonts w:eastAsia="Calibri"/>
              <w:shd w:val="clear" w:color="auto" w:fill="FFFFFF"/>
              <w:lang w:val="en-US" w:eastAsia="en-US"/>
            </w:rPr>
            <w:t>Technical efficiency and productivity for higher education institutions in Sweden</w:t>
          </w:r>
          <w:r w:rsidR="006A0594">
            <w:rPr>
              <w:rFonts w:eastAsia="Calibri"/>
              <w:shd w:val="clear" w:color="auto" w:fill="FFFFFF"/>
              <w:lang w:val="en-US" w:eastAsia="en-US"/>
            </w:rPr>
            <w:t xml:space="preserve">. </w:t>
          </w:r>
          <w:r w:rsidRPr="00105C17">
            <w:rPr>
              <w:rFonts w:eastAsia="Calibri"/>
              <w:shd w:val="clear" w:color="auto" w:fill="FFFFFF"/>
              <w:lang w:val="en-US" w:eastAsia="en-US"/>
            </w:rPr>
            <w:t> </w:t>
          </w:r>
          <w:r w:rsidRPr="00105C17">
            <w:rPr>
              <w:rFonts w:eastAsia="Calibri"/>
              <w:i/>
              <w:iCs/>
              <w:shd w:val="clear" w:color="auto" w:fill="FFFFFF"/>
              <w:lang w:val="en-US" w:eastAsia="en-US"/>
            </w:rPr>
            <w:t>Scandinavian journal of educational research</w:t>
          </w:r>
          <w:r w:rsidRPr="00105C17">
            <w:rPr>
              <w:rFonts w:eastAsia="Calibri"/>
              <w:shd w:val="clear" w:color="auto" w:fill="FFFFFF"/>
              <w:lang w:val="en-US" w:eastAsia="en-US"/>
            </w:rPr>
            <w:t>, </w:t>
          </w:r>
          <w:r w:rsidRPr="00105C17">
            <w:rPr>
              <w:rFonts w:eastAsia="Calibri"/>
              <w:i/>
              <w:iCs/>
              <w:shd w:val="clear" w:color="auto" w:fill="FFFFFF"/>
              <w:lang w:val="en-US" w:eastAsia="en-US"/>
            </w:rPr>
            <w:t>61</w:t>
          </w:r>
          <w:r w:rsidRPr="00105C17">
            <w:rPr>
              <w:rFonts w:eastAsia="Calibri"/>
              <w:shd w:val="clear" w:color="auto" w:fill="FFFFFF"/>
              <w:lang w:val="en-US" w:eastAsia="en-US"/>
            </w:rPr>
            <w:t>(2), 205-223.</w:t>
          </w:r>
        </w:p>
        <w:p w14:paraId="0638AEE6" w14:textId="0A45369B"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Anker, J. et al. (2009)</w:t>
          </w:r>
          <w:r w:rsidR="006A0594">
            <w:rPr>
              <w:rFonts w:eastAsia="Calibri"/>
              <w:lang w:val="en-US" w:eastAsia="en-US"/>
            </w:rPr>
            <w:t xml:space="preserve">. </w:t>
          </w:r>
          <w:r w:rsidRPr="00105C17">
            <w:rPr>
              <w:rFonts w:eastAsia="Calibri"/>
              <w:i/>
              <w:lang w:val="en-US" w:eastAsia="en-US"/>
            </w:rPr>
            <w:t>Overview and Analysis. Minimum Income Schemes in Denmark: A Study of National Policies</w:t>
          </w:r>
          <w:r w:rsidRPr="00105C17">
            <w:rPr>
              <w:rFonts w:eastAsia="Calibri"/>
              <w:lang w:val="en-US" w:eastAsia="en-US"/>
            </w:rPr>
            <w:t>, Brussels: European Commission.</w:t>
          </w:r>
        </w:p>
        <w:p w14:paraId="479A53B1" w14:textId="289447DD"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Atkinson, A. (2000)</w:t>
          </w:r>
          <w:r w:rsidR="006A0594">
            <w:rPr>
              <w:rFonts w:eastAsia="Calibri"/>
              <w:lang w:val="en-US" w:eastAsia="en-US"/>
            </w:rPr>
            <w:t xml:space="preserve">. </w:t>
          </w:r>
          <w:r w:rsidRPr="00105C17">
            <w:rPr>
              <w:rFonts w:eastAsia="Calibri"/>
              <w:lang w:val="en-US" w:eastAsia="en-US"/>
            </w:rPr>
            <w:t>A European Social Agenda: Poverty Benchmarking and Social Transfers</w:t>
          </w:r>
          <w:r w:rsidR="006A0594">
            <w:rPr>
              <w:rFonts w:eastAsia="Calibri"/>
              <w:shd w:val="clear" w:color="auto" w:fill="FFFFFF"/>
              <w:lang w:val="en-US" w:eastAsia="en-US"/>
            </w:rPr>
            <w:t>.</w:t>
          </w:r>
          <w:r w:rsidRPr="00105C17">
            <w:rPr>
              <w:rFonts w:eastAsia="Calibri"/>
              <w:lang w:val="en-US" w:eastAsia="en-US"/>
            </w:rPr>
            <w:t xml:space="preserve"> </w:t>
          </w:r>
          <w:r w:rsidRPr="00105C17">
            <w:rPr>
              <w:rFonts w:eastAsia="Calibri"/>
              <w:i/>
              <w:lang w:val="en-US" w:eastAsia="en-US"/>
            </w:rPr>
            <w:t>Euromod Working Paper</w:t>
          </w:r>
          <w:r w:rsidRPr="00105C17">
            <w:rPr>
              <w:rFonts w:eastAsia="Calibri"/>
              <w:lang w:val="en-US" w:eastAsia="en-US"/>
            </w:rPr>
            <w:t xml:space="preserve"> No. EM3/00.</w:t>
          </w:r>
        </w:p>
        <w:p w14:paraId="0689989A" w14:textId="5EBAD19F" w:rsidR="00105C17" w:rsidRPr="00105C17" w:rsidRDefault="00105C17" w:rsidP="00563E85">
          <w:pPr>
            <w:autoSpaceDE w:val="0"/>
            <w:autoSpaceDN w:val="0"/>
            <w:adjustRightInd w:val="0"/>
            <w:spacing w:after="200" w:line="276" w:lineRule="auto"/>
            <w:ind w:left="284" w:hanging="284"/>
            <w:jc w:val="both"/>
            <w:rPr>
              <w:rFonts w:eastAsia="Calibri"/>
              <w:lang w:val="en-US" w:eastAsia="en-US"/>
            </w:rPr>
          </w:pPr>
          <w:r w:rsidRPr="00105C17">
            <w:rPr>
              <w:rFonts w:eastAsia="Calibri"/>
              <w:lang w:val="en-US" w:eastAsia="en-US"/>
            </w:rPr>
            <w:t>Banker RD, Charnes A</w:t>
          </w:r>
          <w:r w:rsidR="006A0594">
            <w:rPr>
              <w:rFonts w:eastAsia="Calibri"/>
              <w:lang w:val="en-US" w:eastAsia="en-US"/>
            </w:rPr>
            <w:t xml:space="preserve">., &amp; </w:t>
          </w:r>
          <w:r w:rsidRPr="00105C17">
            <w:rPr>
              <w:rFonts w:eastAsia="Calibri"/>
              <w:lang w:val="en-US" w:eastAsia="en-US"/>
            </w:rPr>
            <w:t>Cooper WW. (1984)</w:t>
          </w:r>
          <w:r w:rsidR="006A0594">
            <w:rPr>
              <w:rFonts w:eastAsia="Calibri"/>
              <w:lang w:val="en-US" w:eastAsia="en-US"/>
            </w:rPr>
            <w:t xml:space="preserve">. </w:t>
          </w:r>
          <w:r w:rsidRPr="00105C17">
            <w:rPr>
              <w:rFonts w:eastAsia="Calibri"/>
              <w:lang w:val="en-US" w:eastAsia="en-US"/>
            </w:rPr>
            <w:t>Some models for estimating technical and scale inefficiency in data envelopment analysis</w:t>
          </w:r>
          <w:r w:rsidR="006A0594">
            <w:rPr>
              <w:rFonts w:eastAsia="Calibri"/>
              <w:shd w:val="clear" w:color="auto" w:fill="FFFFFF"/>
              <w:lang w:val="en-US" w:eastAsia="en-US"/>
            </w:rPr>
            <w:t xml:space="preserve">. </w:t>
          </w:r>
          <w:r w:rsidRPr="00105C17">
            <w:rPr>
              <w:rFonts w:eastAsia="Calibri"/>
              <w:lang w:val="en-US" w:eastAsia="en-US"/>
            </w:rPr>
            <w:t xml:space="preserve"> </w:t>
          </w:r>
          <w:r w:rsidRPr="00105C17">
            <w:rPr>
              <w:rFonts w:eastAsia="Calibri"/>
              <w:i/>
              <w:lang w:val="en-US" w:eastAsia="en-US"/>
            </w:rPr>
            <w:t>Management Science, 30</w:t>
          </w:r>
          <w:r w:rsidRPr="00105C17">
            <w:rPr>
              <w:rFonts w:eastAsia="Calibri"/>
              <w:lang w:val="en-US" w:eastAsia="en-US"/>
            </w:rPr>
            <w:t>(9), 1078</w:t>
          </w:r>
          <w:r w:rsidR="006A0594">
            <w:rPr>
              <w:rFonts w:eastAsia="Calibri"/>
              <w:lang w:val="en-US" w:eastAsia="en-US"/>
            </w:rPr>
            <w:t>-10</w:t>
          </w:r>
          <w:r w:rsidRPr="00105C17">
            <w:rPr>
              <w:rFonts w:eastAsia="Calibri"/>
              <w:lang w:val="en-US" w:eastAsia="en-US"/>
            </w:rPr>
            <w:t>92.</w:t>
          </w:r>
        </w:p>
        <w:p w14:paraId="66879CA9" w14:textId="64EF3FBF"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Bebl</w:t>
          </w:r>
          <w:r w:rsidR="006A0594">
            <w:rPr>
              <w:rFonts w:eastAsia="Calibri"/>
              <w:lang w:val="en-US" w:eastAsia="en-US"/>
            </w:rPr>
            <w:t>o, M., &amp;</w:t>
          </w:r>
          <w:r w:rsidRPr="00105C17">
            <w:rPr>
              <w:rFonts w:eastAsia="Calibri"/>
              <w:lang w:val="en-US" w:eastAsia="en-US"/>
            </w:rPr>
            <w:t xml:space="preserve"> Knaus, T. (2001)</w:t>
          </w:r>
          <w:r w:rsidR="006A0594">
            <w:rPr>
              <w:rFonts w:eastAsia="Calibri"/>
              <w:lang w:val="en-US" w:eastAsia="en-US"/>
            </w:rPr>
            <w:t xml:space="preserve">. </w:t>
          </w:r>
          <w:r w:rsidRPr="00105C17">
            <w:rPr>
              <w:rFonts w:eastAsia="Calibri"/>
              <w:lang w:val="en-US" w:eastAsia="en-US"/>
            </w:rPr>
            <w:t>Measuring Income Inequality in Euroland</w:t>
          </w:r>
          <w:r w:rsidR="006A0594">
            <w:rPr>
              <w:rFonts w:eastAsia="Calibri"/>
              <w:lang w:val="en-US" w:eastAsia="en-US"/>
            </w:rPr>
            <w:t>.</w:t>
          </w:r>
          <w:r w:rsidRPr="00105C17">
            <w:rPr>
              <w:rFonts w:eastAsia="Calibri"/>
              <w:lang w:val="en-US" w:eastAsia="en-US"/>
            </w:rPr>
            <w:t xml:space="preserve"> </w:t>
          </w:r>
          <w:r w:rsidRPr="00105C17">
            <w:rPr>
              <w:rFonts w:eastAsia="Calibri"/>
              <w:i/>
              <w:lang w:val="en-US" w:eastAsia="en-US"/>
            </w:rPr>
            <w:t>The Review of Income and Wealth</w:t>
          </w:r>
          <w:r w:rsidRPr="00105C17">
            <w:rPr>
              <w:rFonts w:eastAsia="Calibri"/>
              <w:lang w:val="en-US" w:eastAsia="en-US"/>
            </w:rPr>
            <w:t>,</w:t>
          </w:r>
          <w:r w:rsidRPr="00105C17">
            <w:rPr>
              <w:rFonts w:eastAsia="Calibri"/>
              <w:i/>
              <w:lang w:val="en-US" w:eastAsia="en-US"/>
            </w:rPr>
            <w:t xml:space="preserve"> 47</w:t>
          </w:r>
          <w:r w:rsidRPr="00105C17">
            <w:rPr>
              <w:rFonts w:eastAsia="Calibri"/>
              <w:lang w:val="en-US" w:eastAsia="en-US"/>
            </w:rPr>
            <w:t>, 301-320.</w:t>
          </w:r>
        </w:p>
        <w:p w14:paraId="7B91FE8B" w14:textId="49736AFE" w:rsidR="00105C17" w:rsidRPr="00105C17" w:rsidRDefault="00105C17" w:rsidP="00563E85">
          <w:pPr>
            <w:spacing w:after="200" w:line="276" w:lineRule="auto"/>
            <w:ind w:left="284" w:hanging="284"/>
            <w:jc w:val="both"/>
            <w:rPr>
              <w:rFonts w:eastAsia="Times New Roman"/>
              <w:lang w:val="en-US"/>
            </w:rPr>
          </w:pPr>
          <w:r w:rsidRPr="00105C17">
            <w:rPr>
              <w:rFonts w:eastAsia="Calibri"/>
              <w:lang w:val="en-US" w:eastAsia="en-US"/>
            </w:rPr>
            <w:lastRenderedPageBreak/>
            <w:t>Bezdek, J.C. (1981)</w:t>
          </w:r>
          <w:r w:rsidR="006A0594">
            <w:rPr>
              <w:rFonts w:eastAsia="Calibri"/>
              <w:lang w:val="en-US" w:eastAsia="en-US"/>
            </w:rPr>
            <w:t xml:space="preserve">. </w:t>
          </w:r>
          <w:r w:rsidRPr="00105C17">
            <w:rPr>
              <w:rFonts w:eastAsia="Calibri"/>
              <w:lang w:val="en-US" w:eastAsia="en-US"/>
            </w:rPr>
            <w:t>Objective Function Clustering</w:t>
          </w:r>
          <w:r w:rsidR="006A0594">
            <w:rPr>
              <w:rFonts w:eastAsia="Calibri"/>
              <w:lang w:val="en-US" w:eastAsia="en-US"/>
            </w:rPr>
            <w:t>. In</w:t>
          </w:r>
          <w:r w:rsidRPr="00105C17">
            <w:rPr>
              <w:rFonts w:eastAsia="Calibri"/>
              <w:lang w:val="en-US" w:eastAsia="en-US"/>
            </w:rPr>
            <w:t xml:space="preserve"> </w:t>
          </w:r>
          <w:r w:rsidRPr="00105C17">
            <w:rPr>
              <w:rFonts w:eastAsia="Calibri"/>
              <w:i/>
              <w:iCs/>
              <w:lang w:val="en-US" w:eastAsia="en-US"/>
            </w:rPr>
            <w:t>Pattern recognition with fuzzy objective function algorithms</w:t>
          </w:r>
          <w:r w:rsidRPr="00105C17">
            <w:rPr>
              <w:rFonts w:eastAsia="Calibri"/>
              <w:iCs/>
              <w:lang w:val="en-US" w:eastAsia="en-US"/>
            </w:rPr>
            <w:t>,</w:t>
          </w:r>
          <w:r w:rsidRPr="00105C17">
            <w:rPr>
              <w:rFonts w:eastAsia="Calibri"/>
              <w:lang w:val="en-US" w:eastAsia="en-US"/>
            </w:rPr>
            <w:t xml:space="preserve"> Springer, Boston, MA. pp. 43-93.</w:t>
          </w:r>
        </w:p>
        <w:p w14:paraId="2ADF2411" w14:textId="547A9BA4"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Bogd</w:t>
          </w:r>
          <w:r w:rsidR="006A0594">
            <w:rPr>
              <w:rFonts w:eastAsia="Calibri"/>
              <w:lang w:val="en-US" w:eastAsia="en-US"/>
            </w:rPr>
            <w:t xml:space="preserve">anov, G., &amp; Zahariev, B. (2009). </w:t>
          </w:r>
          <w:r w:rsidRPr="00105C17">
            <w:rPr>
              <w:rFonts w:eastAsia="Calibri"/>
              <w:i/>
              <w:lang w:val="en-US" w:eastAsia="en-US"/>
            </w:rPr>
            <w:t>Analysis of the Situation in Relation to Minimum Income Schemes in Bulgaria. A Study of National Policies</w:t>
          </w:r>
          <w:r w:rsidR="006A0594">
            <w:rPr>
              <w:rFonts w:eastAsia="Calibri"/>
              <w:i/>
              <w:lang w:val="en-US" w:eastAsia="en-US"/>
            </w:rPr>
            <w:t>.</w:t>
          </w:r>
          <w:r w:rsidRPr="00105C17">
            <w:rPr>
              <w:rFonts w:eastAsia="Calibri"/>
              <w:lang w:val="en-US" w:eastAsia="en-US"/>
            </w:rPr>
            <w:t xml:space="preserve"> Brussels: European Commission.</w:t>
          </w:r>
        </w:p>
        <w:p w14:paraId="4D776688" w14:textId="6A3D728C" w:rsidR="00105C17" w:rsidRPr="00105C17" w:rsidRDefault="006A0594" w:rsidP="00563E85">
          <w:pPr>
            <w:spacing w:after="200" w:line="276" w:lineRule="auto"/>
            <w:ind w:left="284" w:hanging="284"/>
            <w:jc w:val="both"/>
            <w:rPr>
              <w:rFonts w:eastAsia="Calibri"/>
              <w:lang w:val="en-US" w:eastAsia="en-US"/>
            </w:rPr>
          </w:pPr>
          <w:r>
            <w:rPr>
              <w:rFonts w:eastAsia="Calibri"/>
              <w:lang w:val="en-US" w:eastAsia="en-US"/>
            </w:rPr>
            <w:t>Bradbury, B., &amp;</w:t>
          </w:r>
          <w:r w:rsidR="00105C17" w:rsidRPr="00105C17">
            <w:rPr>
              <w:rFonts w:eastAsia="Calibri"/>
              <w:lang w:val="en-US" w:eastAsia="en-US"/>
            </w:rPr>
            <w:t xml:space="preserve"> Jäntti, M. (2001)</w:t>
          </w:r>
          <w:r>
            <w:rPr>
              <w:rFonts w:eastAsia="Calibri"/>
              <w:lang w:val="en-US" w:eastAsia="en-US"/>
            </w:rPr>
            <w:t xml:space="preserve">. </w:t>
          </w:r>
          <w:r w:rsidR="00105C17" w:rsidRPr="00105C17">
            <w:rPr>
              <w:rFonts w:eastAsia="Calibri"/>
              <w:lang w:val="en-US" w:eastAsia="en-US"/>
            </w:rPr>
            <w:t>Child poverty across twenty-five countries</w:t>
          </w:r>
          <w:r>
            <w:rPr>
              <w:rFonts w:eastAsia="Calibri"/>
              <w:lang w:val="en-US" w:eastAsia="en-US"/>
            </w:rPr>
            <w:t>. In Bradbury, B., Jenkins, S., &amp;</w:t>
          </w:r>
          <w:r w:rsidR="00105C17" w:rsidRPr="00105C17">
            <w:rPr>
              <w:rFonts w:eastAsia="Calibri"/>
              <w:lang w:val="en-US" w:eastAsia="en-US"/>
            </w:rPr>
            <w:t xml:space="preserve">Micklewright, J. (eds.), </w:t>
          </w:r>
          <w:r w:rsidR="00105C17" w:rsidRPr="00105C17">
            <w:rPr>
              <w:rFonts w:eastAsia="Calibri"/>
              <w:i/>
              <w:lang w:val="en-US" w:eastAsia="en-US"/>
            </w:rPr>
            <w:t>The dynamics of Child Poverty in Industrialised Countries</w:t>
          </w:r>
          <w:r w:rsidR="00105C17" w:rsidRPr="00105C17">
            <w:rPr>
              <w:rFonts w:eastAsia="Calibri"/>
              <w:lang w:val="en-US" w:eastAsia="en-US"/>
            </w:rPr>
            <w:t>, Cambridge: Cambridge University Press, pp. 62-91.</w:t>
          </w:r>
        </w:p>
        <w:p w14:paraId="78A55EBF" w14:textId="365C0D82" w:rsidR="00105C17" w:rsidRPr="00105C17" w:rsidRDefault="00105C17" w:rsidP="00563E85">
          <w:pPr>
            <w:spacing w:after="200" w:line="276" w:lineRule="auto"/>
            <w:ind w:left="284" w:hanging="284"/>
            <w:jc w:val="both"/>
            <w:rPr>
              <w:rFonts w:eastAsia="Times New Roman"/>
              <w:color w:val="000000"/>
              <w:lang w:val="en-US" w:eastAsia="en-US"/>
            </w:rPr>
          </w:pPr>
          <w:r w:rsidRPr="00105C17">
            <w:rPr>
              <w:rFonts w:eastAsia="Calibri"/>
              <w:lang w:eastAsia="en-US"/>
            </w:rPr>
            <w:t>Cantillon, B., Marx, I.</w:t>
          </w:r>
          <w:r w:rsidR="006A0594" w:rsidRPr="006A0594">
            <w:rPr>
              <w:rFonts w:eastAsia="Calibri"/>
              <w:lang w:eastAsia="en-US"/>
            </w:rPr>
            <w:t>, &amp;</w:t>
          </w:r>
          <w:r w:rsidRPr="00105C17">
            <w:rPr>
              <w:rFonts w:eastAsia="Calibri"/>
              <w:lang w:eastAsia="en-US"/>
            </w:rPr>
            <w:t xml:space="preserve"> Van den Bosch, K. (1997)</w:t>
          </w:r>
          <w:r w:rsidR="006A0594" w:rsidRPr="006A0594">
            <w:rPr>
              <w:rFonts w:eastAsia="Calibri"/>
              <w:lang w:eastAsia="en-US"/>
            </w:rPr>
            <w:t xml:space="preserve">. </w:t>
          </w:r>
          <w:r w:rsidRPr="00105C17">
            <w:rPr>
              <w:rFonts w:eastAsia="Calibri"/>
              <w:lang w:val="en-US" w:eastAsia="en-US"/>
            </w:rPr>
            <w:t>The Challenge of Poverty and Social Exclusion</w:t>
          </w:r>
          <w:r w:rsidR="006A0594">
            <w:rPr>
              <w:rFonts w:eastAsia="Calibri"/>
              <w:lang w:val="en-US" w:eastAsia="en-US"/>
            </w:rPr>
            <w:t xml:space="preserve">. In </w:t>
          </w:r>
          <w:r w:rsidRPr="00105C17">
            <w:rPr>
              <w:rFonts w:eastAsia="Calibri"/>
              <w:lang w:val="en-US" w:eastAsia="en-US"/>
            </w:rPr>
            <w:t xml:space="preserve">OECD (ed.), </w:t>
          </w:r>
          <w:r w:rsidRPr="00105C17">
            <w:rPr>
              <w:rFonts w:eastAsia="Calibri"/>
              <w:i/>
              <w:lang w:val="en-US" w:eastAsia="en-US"/>
            </w:rPr>
            <w:t>Towards 2000: The New Social Policy Agenda</w:t>
          </w:r>
          <w:r w:rsidRPr="00105C17">
            <w:rPr>
              <w:rFonts w:eastAsia="Calibri"/>
              <w:lang w:val="en-US" w:eastAsia="en-US"/>
            </w:rPr>
            <w:t xml:space="preserve">, Paris: </w:t>
          </w:r>
          <w:r w:rsidRPr="00105C17">
            <w:rPr>
              <w:rFonts w:eastAsia="Times New Roman"/>
              <w:color w:val="000000"/>
              <w:lang w:val="en-US" w:eastAsia="en-US"/>
            </w:rPr>
            <w:t>OECD</w:t>
          </w:r>
          <w:r w:rsidR="006A0594">
            <w:rPr>
              <w:rFonts w:eastAsia="Times New Roman"/>
              <w:color w:val="000000"/>
              <w:lang w:val="en-US" w:eastAsia="en-US"/>
            </w:rPr>
            <w:t>.</w:t>
          </w:r>
        </w:p>
        <w:p w14:paraId="7B30C270" w14:textId="0E60C29F" w:rsidR="00105C17" w:rsidRPr="006A0594" w:rsidRDefault="00105C17" w:rsidP="00563E85">
          <w:pPr>
            <w:spacing w:after="200" w:line="276" w:lineRule="auto"/>
            <w:ind w:left="284" w:hanging="284"/>
            <w:jc w:val="both"/>
            <w:rPr>
              <w:rFonts w:eastAsia="Calibri"/>
              <w:u w:val="single"/>
              <w:lang w:eastAsia="en-US"/>
            </w:rPr>
          </w:pPr>
          <w:r w:rsidRPr="00105C17">
            <w:rPr>
              <w:rFonts w:eastAsia="Calibri"/>
              <w:lang w:val="en-US" w:eastAsia="en-US"/>
            </w:rPr>
            <w:t>Cantillon, B. (2011)</w:t>
          </w:r>
          <w:r w:rsidR="006A0594">
            <w:rPr>
              <w:rFonts w:eastAsia="Calibri"/>
              <w:lang w:val="en-US" w:eastAsia="en-US"/>
            </w:rPr>
            <w:t xml:space="preserve">. </w:t>
          </w:r>
          <w:r w:rsidRPr="00105C17">
            <w:rPr>
              <w:rFonts w:eastAsia="Calibri"/>
              <w:lang w:val="en-US" w:eastAsia="en-US"/>
            </w:rPr>
            <w:t>The Paradox of the Social Investment State. Growth, Employment and Poverty in the Lisbon Era</w:t>
          </w:r>
          <w:r w:rsidR="006A0594">
            <w:rPr>
              <w:rFonts w:eastAsia="Calibri"/>
              <w:shd w:val="clear" w:color="auto" w:fill="FFFFFF"/>
              <w:lang w:val="en-US" w:eastAsia="en-US"/>
            </w:rPr>
            <w:t>.</w:t>
          </w:r>
          <w:r w:rsidRPr="00105C17">
            <w:rPr>
              <w:rFonts w:eastAsia="Calibri"/>
              <w:lang w:val="en-US" w:eastAsia="en-US"/>
            </w:rPr>
            <w:t xml:space="preserve"> </w:t>
          </w:r>
          <w:r w:rsidRPr="00105C17">
            <w:rPr>
              <w:rFonts w:eastAsia="Calibri"/>
              <w:i/>
              <w:lang w:val="en-US" w:eastAsia="en-US"/>
            </w:rPr>
            <w:t>Working Paper</w:t>
          </w:r>
          <w:r w:rsidRPr="00105C17">
            <w:rPr>
              <w:rFonts w:eastAsia="Calibri"/>
              <w:lang w:val="en-US" w:eastAsia="en-US"/>
            </w:rPr>
            <w:t xml:space="preserve"> No. 11 / 03, University of Antwerp. </w:t>
          </w:r>
          <w:hyperlink r:id="rId14" w:history="1">
            <w:r w:rsidRPr="006A0594">
              <w:rPr>
                <w:rFonts w:eastAsia="Calibri"/>
                <w:u w:val="single"/>
                <w:lang w:eastAsia="en-US"/>
              </w:rPr>
              <w:t>http://www.centrumvoorsociaalbeleid.be/sites/default/files/CSB%20Working%20Paper%2011%2003_March%202011.pdf</w:t>
            </w:r>
          </w:hyperlink>
        </w:p>
        <w:p w14:paraId="18A04909" w14:textId="6F0DB8F0"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eastAsia="en-US"/>
            </w:rPr>
            <w:t>Cantillon, B., Marx, I.</w:t>
          </w:r>
          <w:r w:rsidR="006A0594" w:rsidRPr="006A0594">
            <w:rPr>
              <w:rFonts w:eastAsia="Calibri"/>
              <w:lang w:eastAsia="en-US"/>
            </w:rPr>
            <w:t xml:space="preserve">, &amp; </w:t>
          </w:r>
          <w:r w:rsidRPr="00105C17">
            <w:rPr>
              <w:rFonts w:eastAsia="Calibri"/>
              <w:lang w:eastAsia="en-US"/>
            </w:rPr>
            <w:t>Van den Bosch, K. (2002)</w:t>
          </w:r>
          <w:r w:rsidR="006A0594" w:rsidRPr="006A0594">
            <w:rPr>
              <w:rFonts w:eastAsia="Calibri"/>
              <w:lang w:eastAsia="en-US"/>
            </w:rPr>
            <w:t xml:space="preserve">. </w:t>
          </w:r>
          <w:r w:rsidRPr="00105C17">
            <w:rPr>
              <w:rFonts w:eastAsia="Calibri"/>
              <w:lang w:val="en-US" w:eastAsia="en-US"/>
            </w:rPr>
            <w:t>The Puzzle of Egalitarianism: About the Relationships between Employment, Wage Inequality, Social Expenditures and Poverty</w:t>
          </w:r>
          <w:r w:rsidR="006A0594">
            <w:rPr>
              <w:rFonts w:eastAsia="Calibri"/>
              <w:lang w:val="en-US" w:eastAsia="en-US"/>
            </w:rPr>
            <w:t xml:space="preserve">. </w:t>
          </w:r>
          <w:r w:rsidRPr="00105C17">
            <w:rPr>
              <w:rFonts w:eastAsia="Calibri"/>
              <w:i/>
              <w:lang w:val="en-US" w:eastAsia="en-US"/>
            </w:rPr>
            <w:t>Working Papers</w:t>
          </w:r>
          <w:r w:rsidRPr="00105C17">
            <w:rPr>
              <w:rFonts w:eastAsia="Calibri"/>
              <w:lang w:val="en-US" w:eastAsia="en-US"/>
            </w:rPr>
            <w:t xml:space="preserve"> No 337, Luxembourg: Luxembourg Income Study.</w:t>
          </w:r>
        </w:p>
        <w:p w14:paraId="581EABF8" w14:textId="414A2BEA" w:rsidR="00105C17" w:rsidRPr="00105C17" w:rsidRDefault="006A0594" w:rsidP="00563E85">
          <w:pPr>
            <w:spacing w:after="200" w:line="276" w:lineRule="auto"/>
            <w:ind w:left="284" w:hanging="284"/>
            <w:jc w:val="both"/>
            <w:rPr>
              <w:rFonts w:eastAsia="Calibri"/>
              <w:lang w:val="en-US" w:eastAsia="en-US"/>
            </w:rPr>
          </w:pPr>
          <w:r>
            <w:rPr>
              <w:rFonts w:eastAsia="Calibri"/>
              <w:shd w:val="clear" w:color="auto" w:fill="FFFFFF"/>
              <w:lang w:val="en-US" w:eastAsia="en-US"/>
            </w:rPr>
            <w:t>Charnes, A., Cooper, W.</w:t>
          </w:r>
          <w:r w:rsidR="00105C17" w:rsidRPr="00105C17">
            <w:rPr>
              <w:rFonts w:eastAsia="Calibri"/>
              <w:shd w:val="clear" w:color="auto" w:fill="FFFFFF"/>
              <w:lang w:val="en-US" w:eastAsia="en-US"/>
            </w:rPr>
            <w:t xml:space="preserve">W., </w:t>
          </w:r>
          <w:r>
            <w:rPr>
              <w:rFonts w:eastAsia="Calibri"/>
              <w:shd w:val="clear" w:color="auto" w:fill="FFFFFF"/>
              <w:lang w:val="en-US" w:eastAsia="en-US"/>
            </w:rPr>
            <w:t>&amp;</w:t>
          </w:r>
          <w:r w:rsidR="00105C17" w:rsidRPr="00105C17">
            <w:rPr>
              <w:rFonts w:eastAsia="Calibri"/>
              <w:shd w:val="clear" w:color="auto" w:fill="FFFFFF"/>
              <w:lang w:val="en-US" w:eastAsia="en-US"/>
            </w:rPr>
            <w:t xml:space="preserve"> Rhodes, E. (1978)</w:t>
          </w:r>
          <w:r>
            <w:rPr>
              <w:rFonts w:eastAsia="Calibri"/>
              <w:shd w:val="clear" w:color="auto" w:fill="FFFFFF"/>
              <w:lang w:val="en-US" w:eastAsia="en-US"/>
            </w:rPr>
            <w:t xml:space="preserve">. </w:t>
          </w:r>
          <w:r w:rsidR="00105C17" w:rsidRPr="00105C17">
            <w:rPr>
              <w:rFonts w:eastAsia="Calibri"/>
              <w:shd w:val="clear" w:color="auto" w:fill="FFFFFF"/>
              <w:lang w:val="en-US" w:eastAsia="en-US"/>
            </w:rPr>
            <w:t>Measuring the efficiency of decision making units</w:t>
          </w:r>
          <w:r>
            <w:rPr>
              <w:rFonts w:eastAsia="Calibri"/>
              <w:shd w:val="clear" w:color="auto" w:fill="FFFFFF"/>
              <w:lang w:val="en-US" w:eastAsia="en-US"/>
            </w:rPr>
            <w:t xml:space="preserve">. </w:t>
          </w:r>
          <w:r w:rsidR="00105C17" w:rsidRPr="00105C17">
            <w:rPr>
              <w:rFonts w:eastAsia="Calibri"/>
              <w:i/>
              <w:iCs/>
              <w:shd w:val="clear" w:color="auto" w:fill="FFFFFF"/>
              <w:lang w:val="en-US" w:eastAsia="en-US"/>
            </w:rPr>
            <w:t xml:space="preserve">European </w:t>
          </w:r>
          <w:r w:rsidRPr="00105C17">
            <w:rPr>
              <w:rFonts w:eastAsia="Calibri"/>
              <w:i/>
              <w:iCs/>
              <w:shd w:val="clear" w:color="auto" w:fill="FFFFFF"/>
              <w:lang w:val="en-US" w:eastAsia="en-US"/>
            </w:rPr>
            <w:t xml:space="preserve">Journal </w:t>
          </w:r>
          <w:r>
            <w:rPr>
              <w:rFonts w:eastAsia="Calibri"/>
              <w:i/>
              <w:iCs/>
              <w:shd w:val="clear" w:color="auto" w:fill="FFFFFF"/>
              <w:lang w:val="en-US" w:eastAsia="en-US"/>
            </w:rPr>
            <w:t>o</w:t>
          </w:r>
          <w:r w:rsidRPr="00105C17">
            <w:rPr>
              <w:rFonts w:eastAsia="Calibri"/>
              <w:i/>
              <w:iCs/>
              <w:shd w:val="clear" w:color="auto" w:fill="FFFFFF"/>
              <w:lang w:val="en-US" w:eastAsia="en-US"/>
            </w:rPr>
            <w:t>f Operational Research</w:t>
          </w:r>
          <w:r w:rsidR="00105C17" w:rsidRPr="00105C17">
            <w:rPr>
              <w:rFonts w:eastAsia="Calibri"/>
              <w:shd w:val="clear" w:color="auto" w:fill="FFFFFF"/>
              <w:lang w:val="en-US" w:eastAsia="en-US"/>
            </w:rPr>
            <w:t>, </w:t>
          </w:r>
          <w:r w:rsidR="00105C17" w:rsidRPr="00105C17">
            <w:rPr>
              <w:rFonts w:eastAsia="Calibri"/>
              <w:i/>
              <w:iCs/>
              <w:shd w:val="clear" w:color="auto" w:fill="FFFFFF"/>
              <w:lang w:val="en-US" w:eastAsia="en-US"/>
            </w:rPr>
            <w:t>2</w:t>
          </w:r>
          <w:r w:rsidR="00105C17" w:rsidRPr="00105C17">
            <w:rPr>
              <w:rFonts w:eastAsia="Calibri"/>
              <w:shd w:val="clear" w:color="auto" w:fill="FFFFFF"/>
              <w:lang w:val="en-US" w:eastAsia="en-US"/>
            </w:rPr>
            <w:t>(6), 429-444.</w:t>
          </w:r>
        </w:p>
        <w:p w14:paraId="2BB830CC" w14:textId="02EF8AFF"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Cincin</w:t>
          </w:r>
          <w:r w:rsidR="006A0594">
            <w:rPr>
              <w:rFonts w:eastAsia="Calibri"/>
              <w:lang w:val="en-US" w:eastAsia="en-US"/>
            </w:rPr>
            <w:t>nato, S., &amp;</w:t>
          </w:r>
          <w:r w:rsidRPr="00105C17">
            <w:rPr>
              <w:rFonts w:eastAsia="Calibri"/>
              <w:lang w:val="en-US" w:eastAsia="en-US"/>
            </w:rPr>
            <w:t>Nicaise, I. (2009)</w:t>
          </w:r>
          <w:r w:rsidR="006A0594">
            <w:rPr>
              <w:rFonts w:eastAsia="Calibri"/>
              <w:lang w:val="en-US" w:eastAsia="en-US"/>
            </w:rPr>
            <w:t>.</w:t>
          </w:r>
          <w:r w:rsidRPr="00105C17">
            <w:rPr>
              <w:rFonts w:eastAsia="Calibri"/>
              <w:lang w:val="en-US" w:eastAsia="en-US"/>
            </w:rPr>
            <w:t xml:space="preserve"> </w:t>
          </w:r>
          <w:r w:rsidRPr="00105C17">
            <w:rPr>
              <w:rFonts w:eastAsia="Calibri"/>
              <w:i/>
              <w:lang w:val="en-US" w:eastAsia="en-US"/>
            </w:rPr>
            <w:t>Minimum Income Schemes: Panorama and Assessment. A Study of National Policies</w:t>
          </w:r>
          <w:r w:rsidRPr="00105C17">
            <w:rPr>
              <w:rFonts w:eastAsia="Calibri"/>
              <w:lang w:val="en-US" w:eastAsia="en-US"/>
            </w:rPr>
            <w:t>, Brussels: European Commission.</w:t>
          </w:r>
        </w:p>
        <w:p w14:paraId="5434C492" w14:textId="102F0193" w:rsidR="00105C17" w:rsidRPr="00105C17" w:rsidRDefault="00105C17" w:rsidP="00563E85">
          <w:pPr>
            <w:spacing w:after="200" w:line="276" w:lineRule="auto"/>
            <w:ind w:left="284" w:hanging="284"/>
            <w:jc w:val="both"/>
            <w:rPr>
              <w:rFonts w:eastAsia="Times New Roman"/>
              <w:lang w:val="en-US"/>
            </w:rPr>
          </w:pPr>
          <w:r w:rsidRPr="00105C17">
            <w:rPr>
              <w:rFonts w:eastAsia="Calibri"/>
              <w:shd w:val="clear" w:color="auto" w:fill="FFFFFF"/>
              <w:lang w:val="en-US" w:eastAsia="en-US"/>
            </w:rPr>
            <w:t>Clements, B. (2002)</w:t>
          </w:r>
          <w:r w:rsidR="006A0594">
            <w:rPr>
              <w:rFonts w:eastAsia="Calibri"/>
              <w:shd w:val="clear" w:color="auto" w:fill="FFFFFF"/>
              <w:lang w:val="en-US" w:eastAsia="en-US"/>
            </w:rPr>
            <w:t xml:space="preserve">. </w:t>
          </w:r>
          <w:r w:rsidRPr="00105C17">
            <w:rPr>
              <w:rFonts w:eastAsia="Calibri"/>
              <w:shd w:val="clear" w:color="auto" w:fill="FFFFFF"/>
              <w:lang w:val="en-US" w:eastAsia="en-US"/>
            </w:rPr>
            <w:t>How efficient is education spending in Europe? </w:t>
          </w:r>
          <w:r w:rsidRPr="00105C17">
            <w:rPr>
              <w:rFonts w:eastAsia="Calibri"/>
              <w:i/>
              <w:iCs/>
              <w:shd w:val="clear" w:color="auto" w:fill="FFFFFF"/>
              <w:lang w:val="en-US" w:eastAsia="en-US"/>
            </w:rPr>
            <w:t>European Review of Economics and Finance</w:t>
          </w:r>
          <w:r w:rsidRPr="00105C17">
            <w:rPr>
              <w:rFonts w:eastAsia="Calibri"/>
              <w:i/>
              <w:shd w:val="clear" w:color="auto" w:fill="FFFFFF"/>
              <w:lang w:val="en-US" w:eastAsia="en-US"/>
            </w:rPr>
            <w:t>, </w:t>
          </w:r>
          <w:r w:rsidRPr="00105C17">
            <w:rPr>
              <w:rFonts w:eastAsia="Calibri"/>
              <w:i/>
              <w:iCs/>
              <w:shd w:val="clear" w:color="auto" w:fill="FFFFFF"/>
              <w:lang w:val="en-US" w:eastAsia="en-US"/>
            </w:rPr>
            <w:t>1</w:t>
          </w:r>
          <w:r w:rsidRPr="00105C17">
            <w:rPr>
              <w:rFonts w:eastAsia="Calibri"/>
              <w:shd w:val="clear" w:color="auto" w:fill="FFFFFF"/>
              <w:lang w:val="en-US" w:eastAsia="en-US"/>
            </w:rPr>
            <w:t>(1), 3-26.</w:t>
          </w:r>
        </w:p>
        <w:p w14:paraId="0765F34D" w14:textId="588D86A6" w:rsidR="00105C17" w:rsidRDefault="00105C17" w:rsidP="00563E85">
          <w:pPr>
            <w:spacing w:after="200" w:line="276" w:lineRule="auto"/>
            <w:ind w:left="284" w:hanging="284"/>
            <w:jc w:val="both"/>
            <w:rPr>
              <w:rFonts w:eastAsia="Calibri"/>
              <w:color w:val="222222"/>
              <w:shd w:val="clear" w:color="auto" w:fill="FFFFFF"/>
              <w:lang w:val="en-US" w:eastAsia="en-US"/>
            </w:rPr>
          </w:pPr>
          <w:r w:rsidRPr="00F977B5">
            <w:rPr>
              <w:rFonts w:eastAsia="Calibri"/>
              <w:color w:val="222222"/>
              <w:shd w:val="clear" w:color="auto" w:fill="FFFFFF"/>
              <w:lang w:val="en-GB" w:eastAsia="en-US"/>
            </w:rPr>
            <w:t>Coccia, M., Falavigna, G.</w:t>
          </w:r>
          <w:r w:rsidR="006A0594" w:rsidRPr="00F977B5">
            <w:rPr>
              <w:rFonts w:eastAsia="Calibri"/>
              <w:color w:val="222222"/>
              <w:shd w:val="clear" w:color="auto" w:fill="FFFFFF"/>
              <w:lang w:val="en-GB" w:eastAsia="en-US"/>
            </w:rPr>
            <w:t>, &amp;</w:t>
          </w:r>
          <w:r w:rsidRPr="00F977B5">
            <w:rPr>
              <w:rFonts w:eastAsia="Calibri"/>
              <w:color w:val="222222"/>
              <w:shd w:val="clear" w:color="auto" w:fill="FFFFFF"/>
              <w:lang w:val="en-GB" w:eastAsia="en-US"/>
            </w:rPr>
            <w:t xml:space="preserve"> Manello, A. (2015)</w:t>
          </w:r>
          <w:r w:rsidR="006A0594" w:rsidRPr="00F977B5">
            <w:rPr>
              <w:rFonts w:eastAsia="Calibri"/>
              <w:color w:val="222222"/>
              <w:shd w:val="clear" w:color="auto" w:fill="FFFFFF"/>
              <w:lang w:val="en-GB" w:eastAsia="en-US"/>
            </w:rPr>
            <w:t xml:space="preserve">. </w:t>
          </w:r>
          <w:r w:rsidRPr="00105C17">
            <w:rPr>
              <w:rFonts w:eastAsia="Calibri"/>
              <w:color w:val="222222"/>
              <w:shd w:val="clear" w:color="auto" w:fill="FFFFFF"/>
              <w:lang w:val="en-US" w:eastAsia="en-US"/>
            </w:rPr>
            <w:t>The impact of hybrid public and market-oriented financing mechanisms on the scientific portfolio and performances of public research labs: a scientometric analysis</w:t>
          </w:r>
          <w:r w:rsidR="006A0594">
            <w:rPr>
              <w:rFonts w:eastAsia="Calibri"/>
              <w:color w:val="222222"/>
              <w:shd w:val="clear" w:color="auto" w:fill="FFFFFF"/>
              <w:lang w:val="en-US" w:eastAsia="en-US"/>
            </w:rPr>
            <w:t xml:space="preserve">. </w:t>
          </w:r>
          <w:r w:rsidRPr="00105C17">
            <w:rPr>
              <w:rFonts w:eastAsia="Calibri"/>
              <w:i/>
              <w:iCs/>
              <w:color w:val="222222"/>
              <w:shd w:val="clear" w:color="auto" w:fill="FFFFFF"/>
              <w:lang w:val="en-US" w:eastAsia="en-US"/>
            </w:rPr>
            <w:t>Scientometrics</w:t>
          </w:r>
          <w:r w:rsidRPr="00105C17">
            <w:rPr>
              <w:rFonts w:eastAsia="Calibri"/>
              <w:i/>
              <w:color w:val="222222"/>
              <w:shd w:val="clear" w:color="auto" w:fill="FFFFFF"/>
              <w:lang w:val="en-US" w:eastAsia="en-US"/>
            </w:rPr>
            <w:t>, </w:t>
          </w:r>
          <w:r w:rsidRPr="00105C17">
            <w:rPr>
              <w:rFonts w:eastAsia="Calibri"/>
              <w:i/>
              <w:iCs/>
              <w:color w:val="222222"/>
              <w:shd w:val="clear" w:color="auto" w:fill="FFFFFF"/>
              <w:lang w:val="en-US" w:eastAsia="en-US"/>
            </w:rPr>
            <w:t>102</w:t>
          </w:r>
          <w:r w:rsidRPr="00105C17">
            <w:rPr>
              <w:rFonts w:eastAsia="Calibri"/>
              <w:color w:val="222222"/>
              <w:shd w:val="clear" w:color="auto" w:fill="FFFFFF"/>
              <w:lang w:val="en-US" w:eastAsia="en-US"/>
            </w:rPr>
            <w:t>(1), 151-168.</w:t>
          </w:r>
        </w:p>
        <w:p w14:paraId="487360F3" w14:textId="18F61E92" w:rsidR="006624FA" w:rsidRPr="00105C17" w:rsidRDefault="006624FA" w:rsidP="00563E85">
          <w:pPr>
            <w:spacing w:after="200" w:line="276" w:lineRule="auto"/>
            <w:ind w:left="284" w:hanging="284"/>
            <w:jc w:val="both"/>
            <w:rPr>
              <w:rFonts w:eastAsia="Calibri"/>
              <w:color w:val="222222"/>
              <w:shd w:val="clear" w:color="auto" w:fill="FFFFFF"/>
              <w:lang w:val="en-US" w:eastAsia="en-US"/>
            </w:rPr>
          </w:pPr>
          <w:r w:rsidRPr="006624FA">
            <w:rPr>
              <w:rFonts w:eastAsia="Calibri"/>
              <w:color w:val="222222"/>
              <w:shd w:val="clear" w:color="auto" w:fill="FFFFFF"/>
              <w:lang w:val="en-US" w:eastAsia="en-US"/>
            </w:rPr>
            <w:t xml:space="preserve">Costea, A., &amp; Bleotu, V. (2012). A new fuzzy clustering algorithm for evaluating the performance of non-banking financial institutions in Romania. </w:t>
          </w:r>
          <w:r w:rsidRPr="006624FA">
            <w:rPr>
              <w:rFonts w:eastAsia="Calibri"/>
              <w:i/>
              <w:color w:val="222222"/>
              <w:shd w:val="clear" w:color="auto" w:fill="FFFFFF"/>
              <w:lang w:val="en-US" w:eastAsia="en-US"/>
            </w:rPr>
            <w:t>Economic Computation and Economic Cybernetics Studies and Research, 46</w:t>
          </w:r>
          <w:r w:rsidRPr="006624FA">
            <w:rPr>
              <w:rFonts w:eastAsia="Calibri"/>
              <w:color w:val="222222"/>
              <w:shd w:val="clear" w:color="auto" w:fill="FFFFFF"/>
              <w:lang w:val="en-US" w:eastAsia="en-US"/>
            </w:rPr>
            <w:t>, 179-199.</w:t>
          </w:r>
        </w:p>
        <w:p w14:paraId="6D3397C7" w14:textId="4CD2DD78" w:rsidR="00105C17" w:rsidRPr="00105C17" w:rsidRDefault="006A0594" w:rsidP="00563E85">
          <w:pPr>
            <w:spacing w:after="200" w:line="276" w:lineRule="auto"/>
            <w:ind w:left="284" w:hanging="284"/>
            <w:jc w:val="both"/>
            <w:rPr>
              <w:rFonts w:eastAsia="Times New Roman"/>
              <w:lang w:val="en-US"/>
            </w:rPr>
          </w:pPr>
          <w:r>
            <w:rPr>
              <w:rFonts w:eastAsia="Times New Roman"/>
              <w:lang w:val="en-US"/>
            </w:rPr>
            <w:t>Dave, R.</w:t>
          </w:r>
          <w:r w:rsidR="00105C17" w:rsidRPr="00105C17">
            <w:rPr>
              <w:rFonts w:eastAsia="Times New Roman"/>
              <w:lang w:val="en-US"/>
            </w:rPr>
            <w:t>N. (1996)</w:t>
          </w:r>
          <w:r>
            <w:rPr>
              <w:rFonts w:eastAsia="Times New Roman"/>
              <w:lang w:val="en-US"/>
            </w:rPr>
            <w:t xml:space="preserve">. </w:t>
          </w:r>
          <w:r w:rsidR="00105C17" w:rsidRPr="00105C17">
            <w:rPr>
              <w:rFonts w:eastAsia="Times New Roman"/>
              <w:lang w:val="en-US"/>
            </w:rPr>
            <w:t>Validating fuzzy partitions obtained through c-shells clustering</w:t>
          </w:r>
          <w:r>
            <w:rPr>
              <w:rFonts w:eastAsia="Times New Roman"/>
              <w:lang w:val="en-US"/>
            </w:rPr>
            <w:t>.</w:t>
          </w:r>
          <w:r w:rsidR="00105C17" w:rsidRPr="00105C17">
            <w:rPr>
              <w:rFonts w:eastAsia="Times New Roman"/>
              <w:lang w:val="en-US"/>
            </w:rPr>
            <w:t xml:space="preserve"> </w:t>
          </w:r>
          <w:r w:rsidR="00105C17" w:rsidRPr="00105C17">
            <w:rPr>
              <w:rFonts w:eastAsia="Times New Roman"/>
              <w:i/>
              <w:iCs/>
              <w:lang w:val="en-US"/>
            </w:rPr>
            <w:t>Pattern Recognition Letters</w:t>
          </w:r>
          <w:r w:rsidR="00105C17" w:rsidRPr="00105C17">
            <w:rPr>
              <w:rFonts w:eastAsia="Times New Roman"/>
              <w:i/>
              <w:lang w:val="en-US"/>
            </w:rPr>
            <w:t xml:space="preserve">, </w:t>
          </w:r>
          <w:r w:rsidR="00105C17" w:rsidRPr="00105C17">
            <w:rPr>
              <w:rFonts w:eastAsia="Times New Roman"/>
              <w:i/>
              <w:iCs/>
              <w:lang w:val="en-US"/>
            </w:rPr>
            <w:t>17</w:t>
          </w:r>
          <w:r w:rsidR="00105C17" w:rsidRPr="00105C17">
            <w:rPr>
              <w:rFonts w:eastAsia="Times New Roman"/>
              <w:lang w:val="en-US"/>
            </w:rPr>
            <w:t>(6), 613-623.</w:t>
          </w:r>
        </w:p>
        <w:p w14:paraId="6F52A015" w14:textId="0C05DA68" w:rsidR="00105C17" w:rsidRPr="00105C17" w:rsidRDefault="00105C17" w:rsidP="00563E85">
          <w:pPr>
            <w:spacing w:after="200" w:line="276" w:lineRule="auto"/>
            <w:ind w:left="284" w:hanging="284"/>
            <w:jc w:val="both"/>
            <w:rPr>
              <w:rFonts w:eastAsia="Calibri"/>
              <w:b/>
              <w:lang w:val="en-US" w:eastAsia="en-US"/>
            </w:rPr>
          </w:pPr>
          <w:r w:rsidRPr="00F977B5">
            <w:rPr>
              <w:rFonts w:eastAsia="Calibri"/>
              <w:lang w:val="en-GB" w:eastAsia="en-US"/>
            </w:rPr>
            <w:t>Derrig, R.A.</w:t>
          </w:r>
          <w:r w:rsidR="006A0594" w:rsidRPr="00F977B5">
            <w:rPr>
              <w:rFonts w:eastAsia="Calibri"/>
              <w:lang w:val="en-GB" w:eastAsia="en-US"/>
            </w:rPr>
            <w:t xml:space="preserve">, &amp; </w:t>
          </w:r>
          <w:r w:rsidRPr="00F977B5">
            <w:rPr>
              <w:rFonts w:eastAsia="Calibri"/>
              <w:lang w:val="en-GB" w:eastAsia="en-US"/>
            </w:rPr>
            <w:t>Ostaszewski, K.M. (1995)</w:t>
          </w:r>
          <w:r w:rsidR="006A0594" w:rsidRPr="00F977B5">
            <w:rPr>
              <w:rFonts w:eastAsia="Calibri"/>
              <w:lang w:val="en-GB" w:eastAsia="en-US"/>
            </w:rPr>
            <w:t xml:space="preserve">. </w:t>
          </w:r>
          <w:r w:rsidRPr="00105C17">
            <w:rPr>
              <w:rFonts w:eastAsia="Calibri"/>
              <w:lang w:val="en-US" w:eastAsia="en-US"/>
            </w:rPr>
            <w:t>Fuzzy techniques of pattern recognition in risk and claim classification</w:t>
          </w:r>
          <w:r w:rsidR="006A0594">
            <w:rPr>
              <w:rFonts w:eastAsia="Calibri"/>
              <w:lang w:val="en-US" w:eastAsia="en-US"/>
            </w:rPr>
            <w:t xml:space="preserve">. </w:t>
          </w:r>
          <w:r w:rsidRPr="00105C17">
            <w:rPr>
              <w:rFonts w:eastAsia="Calibri"/>
              <w:i/>
              <w:iCs/>
              <w:lang w:val="en-US" w:eastAsia="en-US"/>
            </w:rPr>
            <w:t>Journal of Risk and Insurance</w:t>
          </w:r>
          <w:r w:rsidRPr="00105C17">
            <w:rPr>
              <w:rFonts w:eastAsia="Calibri"/>
              <w:i/>
              <w:lang w:val="en-US" w:eastAsia="en-US"/>
            </w:rPr>
            <w:t>, 62</w:t>
          </w:r>
          <w:r w:rsidRPr="00105C17">
            <w:rPr>
              <w:rFonts w:eastAsia="Calibri"/>
              <w:lang w:val="en-US" w:eastAsia="en-US"/>
            </w:rPr>
            <w:t>(3), 447-482.</w:t>
          </w:r>
        </w:p>
        <w:p w14:paraId="4FD429F5" w14:textId="3FA42DBE" w:rsidR="00105C17" w:rsidRPr="00105C17" w:rsidRDefault="00105C17" w:rsidP="00563E85">
          <w:pPr>
            <w:spacing w:after="200" w:line="276" w:lineRule="auto"/>
            <w:ind w:left="284" w:hanging="284"/>
            <w:jc w:val="both"/>
            <w:rPr>
              <w:rFonts w:eastAsia="Calibri"/>
              <w:color w:val="222222"/>
              <w:shd w:val="clear" w:color="auto" w:fill="FFFFFF"/>
              <w:lang w:val="en-US" w:eastAsia="en-US"/>
            </w:rPr>
          </w:pPr>
          <w:r w:rsidRPr="00F977B5">
            <w:rPr>
              <w:rFonts w:eastAsia="Calibri"/>
              <w:color w:val="222222"/>
              <w:shd w:val="clear" w:color="auto" w:fill="FFFFFF"/>
              <w:lang w:val="en-GB" w:eastAsia="en-US"/>
            </w:rPr>
            <w:t>Emrouznejad, A.</w:t>
          </w:r>
          <w:r w:rsidR="006A0594" w:rsidRPr="00F977B5">
            <w:rPr>
              <w:rFonts w:eastAsia="Calibri"/>
              <w:color w:val="222222"/>
              <w:shd w:val="clear" w:color="auto" w:fill="FFFFFF"/>
              <w:lang w:val="en-GB" w:eastAsia="en-US"/>
            </w:rPr>
            <w:t>, &amp; Yang, G.</w:t>
          </w:r>
          <w:r w:rsidRPr="00F977B5">
            <w:rPr>
              <w:rFonts w:eastAsia="Calibri"/>
              <w:color w:val="222222"/>
              <w:shd w:val="clear" w:color="auto" w:fill="FFFFFF"/>
              <w:lang w:val="en-GB" w:eastAsia="en-US"/>
            </w:rPr>
            <w:t>L. (2018)</w:t>
          </w:r>
          <w:r w:rsidR="006A0594" w:rsidRPr="00F977B5">
            <w:rPr>
              <w:rFonts w:eastAsia="Calibri"/>
              <w:color w:val="222222"/>
              <w:shd w:val="clear" w:color="auto" w:fill="FFFFFF"/>
              <w:lang w:val="en-GB" w:eastAsia="en-US"/>
            </w:rPr>
            <w:t xml:space="preserve">. </w:t>
          </w:r>
          <w:r w:rsidRPr="00105C17">
            <w:rPr>
              <w:rFonts w:eastAsia="Calibri"/>
              <w:color w:val="222222"/>
              <w:shd w:val="clear" w:color="auto" w:fill="FFFFFF"/>
              <w:lang w:val="en-US" w:eastAsia="en-US"/>
            </w:rPr>
            <w:t xml:space="preserve">A survey and analysis of the first 40 years of scholarly </w:t>
          </w:r>
          <w:r w:rsidR="006A0594">
            <w:rPr>
              <w:rFonts w:eastAsia="Calibri"/>
              <w:color w:val="222222"/>
              <w:shd w:val="clear" w:color="auto" w:fill="FFFFFF"/>
              <w:lang w:val="en-US" w:eastAsia="en-US"/>
            </w:rPr>
            <w:t>literature in DEA: 1978-</w:t>
          </w:r>
          <w:r w:rsidRPr="00105C17">
            <w:rPr>
              <w:rFonts w:eastAsia="Calibri"/>
              <w:color w:val="222222"/>
              <w:shd w:val="clear" w:color="auto" w:fill="FFFFFF"/>
              <w:lang w:val="en-US" w:eastAsia="en-US"/>
            </w:rPr>
            <w:t>2016</w:t>
          </w:r>
          <w:r w:rsidR="006A0594">
            <w:rPr>
              <w:rFonts w:eastAsia="Calibri"/>
              <w:color w:val="222222"/>
              <w:shd w:val="clear" w:color="auto" w:fill="FFFFFF"/>
              <w:lang w:val="en-US" w:eastAsia="en-US"/>
            </w:rPr>
            <w:t xml:space="preserve">. </w:t>
          </w:r>
          <w:r w:rsidRPr="00105C17">
            <w:rPr>
              <w:rFonts w:eastAsia="Calibri"/>
              <w:i/>
              <w:iCs/>
              <w:color w:val="222222"/>
              <w:shd w:val="clear" w:color="auto" w:fill="FFFFFF"/>
              <w:lang w:val="en-US" w:eastAsia="en-US"/>
            </w:rPr>
            <w:t>Socio-Economic Planning Sciences</w:t>
          </w:r>
          <w:r w:rsidRPr="00105C17">
            <w:rPr>
              <w:rFonts w:eastAsia="Calibri"/>
              <w:i/>
              <w:color w:val="222222"/>
              <w:shd w:val="clear" w:color="auto" w:fill="FFFFFF"/>
              <w:lang w:val="en-US" w:eastAsia="en-US"/>
            </w:rPr>
            <w:t>, </w:t>
          </w:r>
          <w:r w:rsidRPr="00105C17">
            <w:rPr>
              <w:rFonts w:eastAsia="Calibri"/>
              <w:i/>
              <w:iCs/>
              <w:color w:val="222222"/>
              <w:shd w:val="clear" w:color="auto" w:fill="FFFFFF"/>
              <w:lang w:val="en-US" w:eastAsia="en-US"/>
            </w:rPr>
            <w:t>61</w:t>
          </w:r>
          <w:r w:rsidRPr="00105C17">
            <w:rPr>
              <w:rFonts w:eastAsia="Calibri"/>
              <w:color w:val="222222"/>
              <w:shd w:val="clear" w:color="auto" w:fill="FFFFFF"/>
              <w:lang w:val="en-US" w:eastAsia="en-US"/>
            </w:rPr>
            <w:t>, 4-8.</w:t>
          </w:r>
        </w:p>
        <w:p w14:paraId="195A7E3D" w14:textId="71E33B30" w:rsidR="00105C17" w:rsidRPr="00105C17" w:rsidRDefault="00105C17" w:rsidP="00563E85">
          <w:pPr>
            <w:spacing w:after="200" w:line="276" w:lineRule="auto"/>
            <w:ind w:left="284" w:hanging="284"/>
            <w:jc w:val="both"/>
            <w:rPr>
              <w:rFonts w:eastAsia="Calibri"/>
              <w:lang w:val="en-GB" w:eastAsia="en-US"/>
            </w:rPr>
          </w:pPr>
          <w:r w:rsidRPr="00105C17">
            <w:rPr>
              <w:rFonts w:eastAsia="Calibri"/>
              <w:lang w:val="en-GB" w:eastAsia="en-US"/>
            </w:rPr>
            <w:t>Esping-Andersen, G. (1990)</w:t>
          </w:r>
          <w:r w:rsidR="006A0594">
            <w:rPr>
              <w:rFonts w:eastAsia="Calibri"/>
              <w:lang w:val="en-GB" w:eastAsia="en-US"/>
            </w:rPr>
            <w:t>.</w:t>
          </w:r>
          <w:r w:rsidRPr="00105C17">
            <w:rPr>
              <w:rFonts w:eastAsia="Calibri"/>
              <w:lang w:val="en-GB" w:eastAsia="en-US"/>
            </w:rPr>
            <w:t xml:space="preserve"> </w:t>
          </w:r>
          <w:r w:rsidRPr="00105C17">
            <w:rPr>
              <w:rFonts w:eastAsia="Calibri"/>
              <w:i/>
              <w:lang w:val="en-GB" w:eastAsia="en-US"/>
            </w:rPr>
            <w:t>Three Worlds of Welfare Capitalism</w:t>
          </w:r>
          <w:r w:rsidRPr="00105C17">
            <w:rPr>
              <w:rFonts w:eastAsia="Calibri"/>
              <w:lang w:val="en-GB" w:eastAsia="en-US"/>
            </w:rPr>
            <w:t>, Cambridge: Cambridge Polity Press.</w:t>
          </w:r>
        </w:p>
        <w:p w14:paraId="69D1DF38" w14:textId="0AD6C9B7" w:rsidR="00105C17" w:rsidRPr="00105C17" w:rsidRDefault="006A0594" w:rsidP="00563E85">
          <w:pPr>
            <w:spacing w:after="200" w:line="276" w:lineRule="auto"/>
            <w:ind w:left="284" w:hanging="284"/>
            <w:jc w:val="both"/>
            <w:rPr>
              <w:rFonts w:eastAsia="Calibri"/>
              <w:lang w:val="en-US" w:eastAsia="en-US"/>
            </w:rPr>
          </w:pPr>
          <w:r>
            <w:rPr>
              <w:rFonts w:eastAsia="Calibri"/>
              <w:lang w:val="it-IT" w:eastAsia="en-US"/>
            </w:rPr>
            <w:lastRenderedPageBreak/>
            <w:t xml:space="preserve">Ferrera, M. (2005). </w:t>
          </w:r>
          <w:r w:rsidR="00105C17" w:rsidRPr="00105C17">
            <w:rPr>
              <w:rFonts w:eastAsia="Calibri"/>
              <w:lang w:val="en-GB" w:eastAsia="en-US"/>
            </w:rPr>
            <w:t>Welfare states and social safety nets in Southern Europe: an introduction</w:t>
          </w:r>
          <w:r>
            <w:rPr>
              <w:rFonts w:eastAsia="Calibri"/>
              <w:shd w:val="clear" w:color="auto" w:fill="FFFFFF"/>
              <w:lang w:val="en-US" w:eastAsia="en-US"/>
            </w:rPr>
            <w:t>. In</w:t>
          </w:r>
          <w:r w:rsidR="00105C17" w:rsidRPr="00105C17">
            <w:rPr>
              <w:rFonts w:eastAsia="Calibri"/>
              <w:lang w:val="en-GB" w:eastAsia="en-US"/>
            </w:rPr>
            <w:t xml:space="preserve"> M. Ferrera (Ed.), </w:t>
          </w:r>
          <w:r w:rsidR="00105C17" w:rsidRPr="00105C17">
            <w:rPr>
              <w:rFonts w:eastAsia="Calibri"/>
              <w:i/>
              <w:lang w:val="en-GB" w:eastAsia="en-US"/>
            </w:rPr>
            <w:t>Welfare State Reform in Southern Europe. Fighting poverty and social exclusion in Italy, Spain, Portugal and Greece</w:t>
          </w:r>
          <w:r w:rsidR="00105C17" w:rsidRPr="00105C17">
            <w:rPr>
              <w:rFonts w:eastAsia="Calibri"/>
              <w:lang w:val="en-GB" w:eastAsia="en-US"/>
            </w:rPr>
            <w:t xml:space="preserve">, </w:t>
          </w:r>
          <w:r w:rsidR="00105C17" w:rsidRPr="00105C17">
            <w:rPr>
              <w:rFonts w:eastAsia="Calibri"/>
              <w:lang w:val="en-US" w:eastAsia="en-US"/>
            </w:rPr>
            <w:t>Routledge: Abingdon, pp. 1-23.</w:t>
          </w:r>
        </w:p>
        <w:p w14:paraId="05F6A55F" w14:textId="77777777" w:rsidR="00105C17" w:rsidRPr="00105C17" w:rsidRDefault="00105C17" w:rsidP="00563E85">
          <w:pPr>
            <w:spacing w:after="200" w:line="276" w:lineRule="auto"/>
            <w:ind w:left="284" w:hanging="284"/>
            <w:jc w:val="both"/>
            <w:rPr>
              <w:rFonts w:eastAsia="Calibri"/>
              <w:lang w:val="it-IT" w:eastAsia="en-US"/>
            </w:rPr>
          </w:pPr>
          <w:r w:rsidRPr="00105C17">
            <w:rPr>
              <w:rFonts w:eastAsia="Calibri"/>
              <w:lang w:val="it-IT" w:eastAsia="en-US"/>
            </w:rPr>
            <w:t xml:space="preserve">Ferrera, M. (1998): </w:t>
          </w:r>
          <w:r w:rsidRPr="00105C17">
            <w:rPr>
              <w:rFonts w:eastAsia="Calibri"/>
              <w:i/>
              <w:lang w:val="it-IT" w:eastAsia="en-US"/>
            </w:rPr>
            <w:t>Le trappole del welfare</w:t>
          </w:r>
          <w:r w:rsidRPr="00105C17">
            <w:rPr>
              <w:rFonts w:eastAsia="Calibri"/>
              <w:lang w:val="it-IT" w:eastAsia="en-US"/>
            </w:rPr>
            <w:t xml:space="preserve">, Bolonia: Il Mulino. </w:t>
          </w:r>
        </w:p>
        <w:p w14:paraId="57B41BA3" w14:textId="44511E5C" w:rsidR="00105C17" w:rsidRPr="00F977B5" w:rsidRDefault="00105C17" w:rsidP="00563E85">
          <w:pPr>
            <w:shd w:val="clear" w:color="auto" w:fill="FFFFFF"/>
            <w:spacing w:after="200" w:line="276" w:lineRule="auto"/>
            <w:ind w:left="284" w:hanging="284"/>
            <w:jc w:val="both"/>
            <w:textAlignment w:val="baseline"/>
            <w:rPr>
              <w:rFonts w:eastAsia="Calibri"/>
              <w:lang w:val="en-GB" w:eastAsia="en-US"/>
            </w:rPr>
          </w:pPr>
          <w:r w:rsidRPr="00105C17">
            <w:rPr>
              <w:rFonts w:eastAsia="Calibri"/>
              <w:lang w:val="en-US" w:eastAsia="en-US"/>
            </w:rPr>
            <w:t>Finn, D., Schulte, B., Eichhors, O., Kaufmann, O.</w:t>
          </w:r>
          <w:r w:rsidR="006A0594">
            <w:rPr>
              <w:rFonts w:eastAsia="Calibri"/>
              <w:lang w:val="en-US" w:eastAsia="en-US"/>
            </w:rPr>
            <w:t>, &amp;</w:t>
          </w:r>
          <w:r w:rsidRPr="00105C17">
            <w:rPr>
              <w:rFonts w:eastAsia="Calibri"/>
              <w:lang w:val="en-US" w:eastAsia="en-US"/>
            </w:rPr>
            <w:t xml:space="preserve"> Konle-Seidl, R. (2008)</w:t>
          </w:r>
          <w:r w:rsidR="006A0594">
            <w:rPr>
              <w:rFonts w:eastAsia="Calibri"/>
              <w:lang w:val="en-US" w:eastAsia="en-US"/>
            </w:rPr>
            <w:t xml:space="preserve">. </w:t>
          </w:r>
          <w:r w:rsidRPr="00105C17">
            <w:rPr>
              <w:rFonts w:eastAsia="Calibri"/>
              <w:i/>
              <w:lang w:val="en-US" w:eastAsia="en-US"/>
            </w:rPr>
            <w:t>Employment First’: activating the British Welfare State. Bringing the Jobless into Work? Experiences with Activation Schemes in Europe and the US</w:t>
          </w:r>
          <w:r w:rsidRPr="00105C17">
            <w:rPr>
              <w:rFonts w:eastAsia="Calibri"/>
              <w:lang w:val="en-US" w:eastAsia="en-US"/>
            </w:rPr>
            <w:t xml:space="preserve">. </w:t>
          </w:r>
          <w:r w:rsidRPr="00F977B5">
            <w:rPr>
              <w:rFonts w:eastAsia="Calibri"/>
              <w:lang w:val="en-GB" w:eastAsia="en-US"/>
            </w:rPr>
            <w:t>Berlin: Springer.</w:t>
          </w:r>
        </w:p>
        <w:p w14:paraId="33952783" w14:textId="4155C171" w:rsidR="00105C17" w:rsidRPr="00105C17" w:rsidRDefault="00006FB0" w:rsidP="00563E85">
          <w:pPr>
            <w:spacing w:after="200" w:line="276" w:lineRule="auto"/>
            <w:ind w:left="284" w:hanging="284"/>
            <w:jc w:val="both"/>
            <w:rPr>
              <w:rFonts w:eastAsia="Calibri"/>
              <w:lang w:eastAsia="en-US"/>
            </w:rPr>
          </w:pPr>
          <w:hyperlink r:id="rId15" w:history="1">
            <w:r w:rsidR="00105C17" w:rsidRPr="00105C17">
              <w:rPr>
                <w:rFonts w:eastAsia="Calibri"/>
                <w:lang w:eastAsia="en-US"/>
              </w:rPr>
              <w:t>González-Pérez</w:t>
            </w:r>
          </w:hyperlink>
          <w:r w:rsidR="00105C17" w:rsidRPr="00105C17">
            <w:rPr>
              <w:rFonts w:eastAsia="Calibri"/>
              <w:lang w:eastAsia="en-US"/>
            </w:rPr>
            <w:t xml:space="preserve">, B., Mendaña-Cuervo C., </w:t>
          </w:r>
          <w:hyperlink r:id="rId16" w:history="1">
            <w:r w:rsidR="00105C17" w:rsidRPr="00105C17">
              <w:rPr>
                <w:rFonts w:eastAsia="Calibri"/>
                <w:lang w:eastAsia="en-US"/>
              </w:rPr>
              <w:t>López-González</w:t>
            </w:r>
          </w:hyperlink>
          <w:r w:rsidR="00105C17" w:rsidRPr="00105C17">
            <w:rPr>
              <w:rFonts w:eastAsia="Calibri"/>
              <w:lang w:eastAsia="en-US"/>
            </w:rPr>
            <w:t>, E.</w:t>
          </w:r>
          <w:r w:rsidR="006A0594">
            <w:rPr>
              <w:rFonts w:eastAsia="Calibri"/>
              <w:lang w:eastAsia="en-US"/>
            </w:rPr>
            <w:t xml:space="preserve">, &amp; </w:t>
          </w:r>
          <w:hyperlink r:id="rId17" w:history="1">
            <w:r w:rsidR="00105C17" w:rsidRPr="00105C17">
              <w:rPr>
                <w:rFonts w:eastAsia="Calibri"/>
                <w:lang w:eastAsia="en-US"/>
              </w:rPr>
              <w:t>Caño</w:t>
            </w:r>
            <w:r w:rsidR="006A0594">
              <w:rPr>
                <w:rFonts w:eastAsia="Calibri"/>
                <w:lang w:eastAsia="en-US"/>
              </w:rPr>
              <w:t>-</w:t>
            </w:r>
            <w:r w:rsidR="00105C17" w:rsidRPr="00105C17">
              <w:rPr>
                <w:rFonts w:eastAsia="Calibri"/>
                <w:lang w:eastAsia="en-US"/>
              </w:rPr>
              <w:t>Alegre</w:t>
            </w:r>
          </w:hyperlink>
          <w:r w:rsidR="00105C17" w:rsidRPr="00105C17">
            <w:rPr>
              <w:rFonts w:eastAsia="Calibri"/>
              <w:lang w:eastAsia="en-US"/>
            </w:rPr>
            <w:t xml:space="preserve">, C. (2007). </w:t>
          </w:r>
          <w:hyperlink r:id="rId18" w:history="1">
            <w:r w:rsidR="00105C17" w:rsidRPr="00105C17">
              <w:rPr>
                <w:rFonts w:eastAsia="Calibri"/>
                <w:lang w:eastAsia="en-US"/>
              </w:rPr>
              <w:t>¿Son eficientes las Universidades Públicas? Aplicación del análisis envolvente de datos en el caso de Castilla y León</w:t>
            </w:r>
          </w:hyperlink>
          <w:r w:rsidR="006A0594">
            <w:rPr>
              <w:rFonts w:eastAsia="Calibri"/>
              <w:lang w:eastAsia="en-US"/>
            </w:rPr>
            <w:t>. E</w:t>
          </w:r>
          <w:r w:rsidR="00105C17" w:rsidRPr="00105C17">
            <w:rPr>
              <w:rFonts w:eastAsia="Calibri"/>
              <w:lang w:eastAsia="en-US"/>
            </w:rPr>
            <w:t xml:space="preserve">n </w:t>
          </w:r>
          <w:hyperlink r:id="rId19" w:history="1">
            <w:r w:rsidR="00105C17" w:rsidRPr="00105C17">
              <w:rPr>
                <w:rFonts w:eastAsia="Calibri"/>
                <w:lang w:eastAsia="en-US"/>
              </w:rPr>
              <w:t>P. Moyano Pesquera</w:t>
            </w:r>
          </w:hyperlink>
          <w:r w:rsidR="00105C17" w:rsidRPr="00105C17">
            <w:rPr>
              <w:rFonts w:eastAsia="Calibri"/>
              <w:lang w:eastAsia="en-US"/>
            </w:rPr>
            <w:t xml:space="preserve">, </w:t>
          </w:r>
          <w:hyperlink r:id="rId20" w:history="1">
            <w:r w:rsidR="00105C17" w:rsidRPr="00105C17">
              <w:rPr>
                <w:rFonts w:eastAsia="Calibri"/>
                <w:lang w:eastAsia="en-US"/>
              </w:rPr>
              <w:t>N. Somarriba Arechavala</w:t>
            </w:r>
          </w:hyperlink>
          <w:r w:rsidR="00105C17" w:rsidRPr="00105C17">
            <w:rPr>
              <w:rFonts w:eastAsia="Calibri"/>
              <w:lang w:eastAsia="en-US"/>
            </w:rPr>
            <w:t xml:space="preserve">, </w:t>
          </w:r>
          <w:hyperlink r:id="rId21" w:history="1">
            <w:r w:rsidR="00105C17" w:rsidRPr="00105C17">
              <w:rPr>
                <w:rFonts w:eastAsia="Calibri"/>
                <w:lang w:eastAsia="en-US"/>
              </w:rPr>
              <w:t>J. E. Fernández Arufe</w:t>
            </w:r>
          </w:hyperlink>
          <w:r w:rsidR="00105C17" w:rsidRPr="00105C17">
            <w:rPr>
              <w:rFonts w:eastAsia="Calibri"/>
              <w:lang w:eastAsia="en-US"/>
            </w:rPr>
            <w:t xml:space="preserve"> (dir.), </w:t>
          </w:r>
          <w:hyperlink r:id="rId22" w:history="1">
            <w:r w:rsidR="00105C17" w:rsidRPr="00105C17">
              <w:rPr>
                <w:rFonts w:eastAsia="Calibri"/>
                <w:lang w:eastAsia="en-US"/>
              </w:rPr>
              <w:t>J. L. Rojo García</w:t>
            </w:r>
          </w:hyperlink>
          <w:r w:rsidR="00105C17" w:rsidRPr="00105C17">
            <w:rPr>
              <w:rFonts w:eastAsia="Calibri"/>
              <w:lang w:eastAsia="en-US"/>
            </w:rPr>
            <w:t xml:space="preserve"> (dir.), </w:t>
          </w:r>
          <w:hyperlink r:id="rId23" w:history="1">
            <w:r w:rsidR="00105C17" w:rsidRPr="00105C17">
              <w:rPr>
                <w:rFonts w:eastAsia="Calibri"/>
                <w:i/>
                <w:lang w:eastAsia="en-US"/>
              </w:rPr>
              <w:t>Anales de economía aplicada 2007</w:t>
            </w:r>
          </w:hyperlink>
          <w:r w:rsidR="00105C17" w:rsidRPr="00105C17">
            <w:rPr>
              <w:rFonts w:eastAsia="Calibri"/>
              <w:i/>
              <w:lang w:eastAsia="en-US"/>
            </w:rPr>
            <w:t>, 5</w:t>
          </w:r>
          <w:r w:rsidR="00105C17" w:rsidRPr="00105C17">
            <w:rPr>
              <w:rFonts w:eastAsia="Calibri"/>
              <w:lang w:eastAsia="en-US"/>
            </w:rPr>
            <w:t>, 129-153.</w:t>
          </w:r>
        </w:p>
        <w:p w14:paraId="7FB39463" w14:textId="1C35296F" w:rsidR="00105C17" w:rsidRPr="00105C17" w:rsidRDefault="00105C17" w:rsidP="00563E85">
          <w:pPr>
            <w:spacing w:after="200" w:line="276" w:lineRule="auto"/>
            <w:ind w:left="284" w:hanging="284"/>
            <w:jc w:val="both"/>
            <w:rPr>
              <w:rFonts w:eastAsia="Calibri"/>
              <w:lang w:val="en-US" w:eastAsia="en-US"/>
            </w:rPr>
          </w:pPr>
          <w:r w:rsidRPr="00105C17">
            <w:rPr>
              <w:rFonts w:eastAsia="Calibri"/>
              <w:shd w:val="clear" w:color="auto" w:fill="FFFFFF"/>
              <w:lang w:val="en-GB" w:eastAsia="en-US"/>
            </w:rPr>
            <w:t>Gupta, S.</w:t>
          </w:r>
          <w:r w:rsidR="006A0594" w:rsidRPr="006A0594">
            <w:rPr>
              <w:rFonts w:eastAsia="Calibri"/>
              <w:shd w:val="clear" w:color="auto" w:fill="FFFFFF"/>
              <w:lang w:val="en-GB" w:eastAsia="en-US"/>
            </w:rPr>
            <w:t>,</w:t>
          </w:r>
          <w:r w:rsidR="006A0594">
            <w:rPr>
              <w:rFonts w:eastAsia="Calibri"/>
              <w:shd w:val="clear" w:color="auto" w:fill="FFFFFF"/>
              <w:lang w:val="en-GB" w:eastAsia="en-US"/>
            </w:rPr>
            <w:t xml:space="preserve"> &amp; </w:t>
          </w:r>
          <w:r w:rsidRPr="00105C17">
            <w:rPr>
              <w:rFonts w:eastAsia="Calibri"/>
              <w:shd w:val="clear" w:color="auto" w:fill="FFFFFF"/>
              <w:lang w:val="en-GB" w:eastAsia="en-US"/>
            </w:rPr>
            <w:t>Verhoeven, M. (2001)</w:t>
          </w:r>
          <w:r w:rsidR="006A0594">
            <w:rPr>
              <w:rFonts w:eastAsia="Calibri"/>
              <w:shd w:val="clear" w:color="auto" w:fill="FFFFFF"/>
              <w:lang w:val="en-GB" w:eastAsia="en-US"/>
            </w:rPr>
            <w:t xml:space="preserve">. </w:t>
          </w:r>
          <w:r w:rsidRPr="00105C17">
            <w:rPr>
              <w:rFonts w:eastAsia="Calibri"/>
              <w:shd w:val="clear" w:color="auto" w:fill="FFFFFF"/>
              <w:lang w:val="en-GB" w:eastAsia="en-US"/>
            </w:rPr>
            <w:t>The efficiency of government expenditure: experiences from Africa</w:t>
          </w:r>
          <w:r w:rsidR="006A0594">
            <w:rPr>
              <w:rFonts w:eastAsia="Calibri"/>
              <w:shd w:val="clear" w:color="auto" w:fill="FFFFFF"/>
              <w:lang w:val="en-GB" w:eastAsia="en-US"/>
            </w:rPr>
            <w:t xml:space="preserve">. </w:t>
          </w:r>
          <w:r w:rsidRPr="00105C17">
            <w:rPr>
              <w:rFonts w:eastAsia="Calibri"/>
              <w:shd w:val="clear" w:color="auto" w:fill="FFFFFF"/>
              <w:lang w:val="en-GB" w:eastAsia="en-US"/>
            </w:rPr>
            <w:t> </w:t>
          </w:r>
          <w:r w:rsidRPr="00105C17">
            <w:rPr>
              <w:rFonts w:eastAsia="Calibri"/>
              <w:i/>
              <w:iCs/>
              <w:shd w:val="clear" w:color="auto" w:fill="FFFFFF"/>
              <w:lang w:val="en-GB" w:eastAsia="en-US"/>
            </w:rPr>
            <w:t xml:space="preserve">Journal of </w:t>
          </w:r>
          <w:r w:rsidR="006A0594" w:rsidRPr="00105C17">
            <w:rPr>
              <w:rFonts w:eastAsia="Calibri"/>
              <w:i/>
              <w:iCs/>
              <w:shd w:val="clear" w:color="auto" w:fill="FFFFFF"/>
              <w:lang w:val="en-GB" w:eastAsia="en-US"/>
            </w:rPr>
            <w:t>Policy Model</w:t>
          </w:r>
          <w:r w:rsidR="006A0594" w:rsidRPr="00105C17">
            <w:rPr>
              <w:rFonts w:eastAsia="Calibri"/>
              <w:i/>
              <w:iCs/>
              <w:shd w:val="clear" w:color="auto" w:fill="FFFFFF"/>
              <w:lang w:val="en-US" w:eastAsia="en-US"/>
            </w:rPr>
            <w:t>ing</w:t>
          </w:r>
          <w:r w:rsidRPr="00105C17">
            <w:rPr>
              <w:rFonts w:eastAsia="Calibri"/>
              <w:i/>
              <w:shd w:val="clear" w:color="auto" w:fill="FFFFFF"/>
              <w:lang w:val="en-US" w:eastAsia="en-US"/>
            </w:rPr>
            <w:t>, </w:t>
          </w:r>
          <w:r w:rsidRPr="00105C17">
            <w:rPr>
              <w:rFonts w:eastAsia="Calibri"/>
              <w:i/>
              <w:iCs/>
              <w:shd w:val="clear" w:color="auto" w:fill="FFFFFF"/>
              <w:lang w:val="en-US" w:eastAsia="en-US"/>
            </w:rPr>
            <w:t>23</w:t>
          </w:r>
          <w:r w:rsidRPr="00105C17">
            <w:rPr>
              <w:rFonts w:eastAsia="Calibri"/>
              <w:shd w:val="clear" w:color="auto" w:fill="FFFFFF"/>
              <w:lang w:val="en-US" w:eastAsia="en-US"/>
            </w:rPr>
            <w:t>(4), 433-467.</w:t>
          </w:r>
        </w:p>
        <w:p w14:paraId="27509945" w14:textId="46DCFDDE" w:rsidR="00105C17" w:rsidRPr="00105C17" w:rsidRDefault="00105C17" w:rsidP="00563E85">
          <w:pPr>
            <w:spacing w:after="200" w:line="276" w:lineRule="auto"/>
            <w:ind w:left="284" w:hanging="284"/>
            <w:jc w:val="both"/>
            <w:rPr>
              <w:rFonts w:eastAsia="Calibri"/>
              <w:shd w:val="clear" w:color="auto" w:fill="FFFFFF"/>
              <w:lang w:val="en-US" w:eastAsia="en-US"/>
            </w:rPr>
          </w:pPr>
          <w:r w:rsidRPr="00105C17">
            <w:rPr>
              <w:rFonts w:eastAsia="Times New Roman"/>
              <w:lang w:val="en-US"/>
            </w:rPr>
            <w:t>Herrera, S.</w:t>
          </w:r>
          <w:r w:rsidR="006A0594">
            <w:rPr>
              <w:rFonts w:eastAsia="Times New Roman"/>
              <w:lang w:val="en-US"/>
            </w:rPr>
            <w:t>, &amp;</w:t>
          </w:r>
          <w:r w:rsidRPr="00105C17">
            <w:rPr>
              <w:rFonts w:eastAsia="Times New Roman"/>
              <w:lang w:val="en-US"/>
            </w:rPr>
            <w:t xml:space="preserve"> Pang, G. (2005)</w:t>
          </w:r>
          <w:r w:rsidR="006A0594">
            <w:rPr>
              <w:rFonts w:eastAsia="Times New Roman"/>
              <w:lang w:val="en-US"/>
            </w:rPr>
            <w:t xml:space="preserve">. </w:t>
          </w:r>
          <w:r w:rsidRPr="00105C17">
            <w:rPr>
              <w:rFonts w:eastAsia="Times New Roman"/>
              <w:i/>
              <w:lang w:val="en-US"/>
            </w:rPr>
            <w:t>Efficiency of public spending in developing countries: an efficiency frontier approach</w:t>
          </w:r>
          <w:r w:rsidRPr="00105C17">
            <w:rPr>
              <w:rFonts w:eastAsia="Times New Roman"/>
              <w:lang w:val="en-US"/>
            </w:rPr>
            <w:t> (Vol. 3645). NY: World Bank Publications.</w:t>
          </w:r>
          <w:r w:rsidRPr="00105C17">
            <w:rPr>
              <w:rFonts w:eastAsia="Calibri"/>
              <w:shd w:val="clear" w:color="auto" w:fill="FFFFFF"/>
              <w:lang w:val="en-US" w:eastAsia="en-US"/>
            </w:rPr>
            <w:t xml:space="preserve"> </w:t>
          </w:r>
        </w:p>
        <w:p w14:paraId="5A14B6EB" w14:textId="3DF63C2D"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 xml:space="preserve">Hirschinger, M., Spickermann, A., Hartmann, E., Gracht, H., </w:t>
          </w:r>
          <w:r w:rsidR="006A0594">
            <w:rPr>
              <w:rFonts w:eastAsia="Calibri"/>
              <w:lang w:val="en-US" w:eastAsia="en-US"/>
            </w:rPr>
            <w:t>&amp; Darkow, I.</w:t>
          </w:r>
          <w:r w:rsidRPr="00105C17">
            <w:rPr>
              <w:rFonts w:eastAsia="Calibri"/>
              <w:lang w:val="en-US" w:eastAsia="en-US"/>
            </w:rPr>
            <w:t>L. (2015)</w:t>
          </w:r>
          <w:r w:rsidR="006A0594">
            <w:rPr>
              <w:rFonts w:eastAsia="Calibri"/>
              <w:lang w:val="en-US" w:eastAsia="en-US"/>
            </w:rPr>
            <w:t xml:space="preserve">. </w:t>
          </w:r>
          <w:r w:rsidRPr="00105C17">
            <w:rPr>
              <w:rFonts w:eastAsia="Calibri"/>
              <w:lang w:val="en-US" w:eastAsia="en-US"/>
            </w:rPr>
            <w:t>The Future of Logistics in Emerging Markets</w:t>
          </w:r>
          <w:r w:rsidR="005E21EF">
            <w:rPr>
              <w:rFonts w:eastAsia="Calibri"/>
              <w:lang w:val="en-US" w:eastAsia="en-US"/>
            </w:rPr>
            <w:t>-</w:t>
          </w:r>
          <w:r w:rsidRPr="00105C17">
            <w:rPr>
              <w:rFonts w:eastAsia="Calibri"/>
              <w:lang w:val="en-US" w:eastAsia="en-US"/>
            </w:rPr>
            <w:t>Fuzzy Clustering Scenarios Grounded in Institutional and Factor</w:t>
          </w:r>
          <w:r w:rsidRPr="00105C17">
            <w:rPr>
              <w:rFonts w:ascii="Cambria Math" w:eastAsia="Calibri" w:hAnsi="Cambria Math" w:cs="Cambria Math"/>
              <w:lang w:val="en-US" w:eastAsia="en-US"/>
            </w:rPr>
            <w:t>‐</w:t>
          </w:r>
          <w:r w:rsidRPr="00105C17">
            <w:rPr>
              <w:rFonts w:eastAsia="Calibri"/>
              <w:lang w:val="en-US" w:eastAsia="en-US"/>
            </w:rPr>
            <w:t>Market Rivalry Theory</w:t>
          </w:r>
          <w:r w:rsidR="005E21EF">
            <w:rPr>
              <w:rFonts w:eastAsia="Calibri"/>
              <w:lang w:val="en-US" w:eastAsia="en-US"/>
            </w:rPr>
            <w:t>.</w:t>
          </w:r>
          <w:r w:rsidRPr="00105C17">
            <w:rPr>
              <w:rFonts w:eastAsia="Calibri"/>
              <w:lang w:val="en-US" w:eastAsia="en-US"/>
            </w:rPr>
            <w:t xml:space="preserve"> </w:t>
          </w:r>
          <w:r w:rsidRPr="00105C17">
            <w:rPr>
              <w:rFonts w:eastAsia="Calibri"/>
              <w:i/>
              <w:iCs/>
              <w:lang w:val="en-US" w:eastAsia="en-US"/>
            </w:rPr>
            <w:t>Journal of Supply Chain Management</w:t>
          </w:r>
          <w:r w:rsidRPr="005E21EF">
            <w:rPr>
              <w:rFonts w:eastAsia="Calibri"/>
              <w:i/>
              <w:lang w:val="en-US" w:eastAsia="en-US"/>
            </w:rPr>
            <w:t xml:space="preserve">, </w:t>
          </w:r>
          <w:r w:rsidRPr="005E21EF">
            <w:rPr>
              <w:rFonts w:eastAsia="Calibri"/>
              <w:i/>
              <w:iCs/>
              <w:lang w:val="en-US" w:eastAsia="en-US"/>
            </w:rPr>
            <w:t>51</w:t>
          </w:r>
          <w:r w:rsidRPr="00105C17">
            <w:rPr>
              <w:rFonts w:eastAsia="Calibri"/>
              <w:lang w:val="en-US" w:eastAsia="en-US"/>
            </w:rPr>
            <w:t>(4), 73-93.</w:t>
          </w:r>
        </w:p>
        <w:p w14:paraId="67BA40D1" w14:textId="7BBC95D1" w:rsidR="00105C17" w:rsidRPr="00105C17" w:rsidRDefault="005E21EF" w:rsidP="00563E85">
          <w:pPr>
            <w:spacing w:after="200" w:line="276" w:lineRule="auto"/>
            <w:ind w:left="284" w:hanging="284"/>
            <w:jc w:val="both"/>
            <w:rPr>
              <w:rFonts w:eastAsia="Calibri"/>
              <w:lang w:val="en-US" w:eastAsia="en-US"/>
            </w:rPr>
          </w:pPr>
          <w:r>
            <w:rPr>
              <w:rFonts w:eastAsia="Calibri"/>
              <w:lang w:val="en-US" w:eastAsia="en-US"/>
            </w:rPr>
            <w:t>Kandel, A. (1982).</w:t>
          </w:r>
          <w:r w:rsidR="00105C17" w:rsidRPr="00105C17">
            <w:rPr>
              <w:rFonts w:eastAsia="Calibri"/>
              <w:lang w:val="en-US" w:eastAsia="en-US"/>
            </w:rPr>
            <w:t xml:space="preserve"> </w:t>
          </w:r>
          <w:r w:rsidR="00105C17" w:rsidRPr="00105C17">
            <w:rPr>
              <w:rFonts w:eastAsia="Calibri"/>
              <w:i/>
              <w:lang w:val="en-US" w:eastAsia="en-US"/>
            </w:rPr>
            <w:t>Fuzzy Techniques in Pattern Recognition</w:t>
          </w:r>
          <w:r w:rsidR="00105C17" w:rsidRPr="00105C17">
            <w:rPr>
              <w:rFonts w:eastAsia="Calibri"/>
              <w:lang w:val="en-US" w:eastAsia="en-US"/>
            </w:rPr>
            <w:t xml:space="preserve">, New York: John Wiley and Sons. </w:t>
          </w:r>
        </w:p>
        <w:p w14:paraId="6F557DE5" w14:textId="34D6A2F2" w:rsidR="00105C17" w:rsidRPr="00105C17" w:rsidRDefault="005E21EF" w:rsidP="00563E85">
          <w:pPr>
            <w:shd w:val="clear" w:color="auto" w:fill="FFFFFF"/>
            <w:spacing w:after="200" w:line="276" w:lineRule="auto"/>
            <w:ind w:left="284" w:hanging="284"/>
            <w:jc w:val="both"/>
            <w:textAlignment w:val="baseline"/>
            <w:rPr>
              <w:rFonts w:eastAsia="Calibri"/>
              <w:lang w:val="en-US" w:eastAsia="en-US"/>
            </w:rPr>
          </w:pPr>
          <w:r>
            <w:rPr>
              <w:rFonts w:eastAsia="Calibri"/>
              <w:shd w:val="clear" w:color="auto" w:fill="FFFFFF"/>
              <w:lang w:val="en-US" w:eastAsia="en-US"/>
            </w:rPr>
            <w:t>Kapsoli, M.J., &amp;</w:t>
          </w:r>
          <w:r w:rsidR="00105C17" w:rsidRPr="00105C17">
            <w:rPr>
              <w:rFonts w:eastAsia="Calibri"/>
              <w:shd w:val="clear" w:color="auto" w:fill="FFFFFF"/>
              <w:lang w:val="en-US" w:eastAsia="en-US"/>
            </w:rPr>
            <w:t xml:space="preserve"> Teodoru, I.R. (2017)</w:t>
          </w:r>
          <w:r>
            <w:rPr>
              <w:rFonts w:eastAsia="Calibri"/>
              <w:shd w:val="clear" w:color="auto" w:fill="FFFFFF"/>
              <w:lang w:val="en-US" w:eastAsia="en-US"/>
            </w:rPr>
            <w:t xml:space="preserve">. </w:t>
          </w:r>
          <w:r w:rsidR="00105C17" w:rsidRPr="00105C17">
            <w:rPr>
              <w:rFonts w:eastAsia="Calibri"/>
              <w:iCs/>
              <w:shd w:val="clear" w:color="auto" w:fill="FFFFFF"/>
              <w:lang w:val="en-US" w:eastAsia="en-US"/>
            </w:rPr>
            <w:t>Benchmarking Social Spending Using Efficiency Frontiers</w:t>
          </w:r>
          <w:r>
            <w:rPr>
              <w:rFonts w:eastAsia="Calibri"/>
              <w:lang w:val="en-US" w:eastAsia="en-US"/>
            </w:rPr>
            <w:t xml:space="preserve">. </w:t>
          </w:r>
          <w:r w:rsidR="00105C17" w:rsidRPr="00105C17">
            <w:rPr>
              <w:rFonts w:eastAsia="Calibri"/>
              <w:i/>
              <w:shd w:val="clear" w:color="auto" w:fill="FFFFFF"/>
              <w:lang w:val="en-US" w:eastAsia="en-US"/>
            </w:rPr>
            <w:t>Working Paper</w:t>
          </w:r>
          <w:r w:rsidR="00105C17" w:rsidRPr="00105C17">
            <w:rPr>
              <w:rFonts w:eastAsia="Calibri"/>
              <w:shd w:val="clear" w:color="auto" w:fill="FFFFFF"/>
              <w:lang w:val="en-US" w:eastAsia="en-US"/>
            </w:rPr>
            <w:t xml:space="preserve"> 17/197, International Monetary Fund.</w:t>
          </w:r>
        </w:p>
        <w:p w14:paraId="3DCBB094" w14:textId="7BCA1F2D" w:rsidR="00105C17" w:rsidRPr="00105C17" w:rsidRDefault="00105C17" w:rsidP="00563E85">
          <w:pPr>
            <w:spacing w:after="200" w:line="276" w:lineRule="auto"/>
            <w:ind w:left="284" w:hanging="284"/>
            <w:jc w:val="both"/>
            <w:rPr>
              <w:rFonts w:eastAsia="Calibri"/>
              <w:lang w:val="en-US" w:eastAsia="en-US"/>
            </w:rPr>
          </w:pPr>
          <w:r w:rsidRPr="00F977B5">
            <w:rPr>
              <w:rFonts w:eastAsia="Calibri"/>
              <w:lang w:val="en-GB" w:eastAsia="en-US"/>
            </w:rPr>
            <w:t xml:space="preserve">Khaleie, S., Fasanghari, M., </w:t>
          </w:r>
          <w:r w:rsidR="005E21EF" w:rsidRPr="00F977B5">
            <w:rPr>
              <w:rFonts w:eastAsia="Calibri"/>
              <w:lang w:val="en-GB" w:eastAsia="en-US"/>
            </w:rPr>
            <w:t>&amp;</w:t>
          </w:r>
          <w:r w:rsidRPr="00F977B5">
            <w:rPr>
              <w:rFonts w:eastAsia="Calibri"/>
              <w:lang w:val="en-GB" w:eastAsia="en-US"/>
            </w:rPr>
            <w:t xml:space="preserve"> Tavassoli, E. (2012)</w:t>
          </w:r>
          <w:r w:rsidR="005E21EF" w:rsidRPr="00F977B5">
            <w:rPr>
              <w:rFonts w:eastAsia="Calibri"/>
              <w:lang w:val="en-GB" w:eastAsia="en-US"/>
            </w:rPr>
            <w:t xml:space="preserve">. </w:t>
          </w:r>
          <w:r w:rsidRPr="00105C17">
            <w:rPr>
              <w:rFonts w:eastAsia="Calibri"/>
              <w:lang w:val="en-US" w:eastAsia="en-US"/>
            </w:rPr>
            <w:t>Supplier selection using a novel intuitionist fuzzy clustering approach</w:t>
          </w:r>
          <w:r w:rsidR="005E21EF">
            <w:rPr>
              <w:rFonts w:eastAsia="Calibri"/>
              <w:lang w:val="en-US" w:eastAsia="en-US"/>
            </w:rPr>
            <w:t xml:space="preserve">. </w:t>
          </w:r>
          <w:r w:rsidRPr="00105C17">
            <w:rPr>
              <w:rFonts w:eastAsia="Calibri"/>
              <w:i/>
              <w:iCs/>
              <w:lang w:val="en-US" w:eastAsia="en-US"/>
            </w:rPr>
            <w:t>Applied Soft Computing</w:t>
          </w:r>
          <w:r w:rsidRPr="005E21EF">
            <w:rPr>
              <w:rFonts w:eastAsia="Calibri"/>
              <w:i/>
              <w:lang w:val="en-US" w:eastAsia="en-US"/>
            </w:rPr>
            <w:t xml:space="preserve">, </w:t>
          </w:r>
          <w:r w:rsidRPr="005E21EF">
            <w:rPr>
              <w:rFonts w:eastAsia="Calibri"/>
              <w:i/>
              <w:iCs/>
              <w:lang w:val="en-US" w:eastAsia="en-US"/>
            </w:rPr>
            <w:t>12</w:t>
          </w:r>
          <w:r w:rsidRPr="00105C17">
            <w:rPr>
              <w:rFonts w:eastAsia="Calibri"/>
              <w:lang w:val="en-US" w:eastAsia="en-US"/>
            </w:rPr>
            <w:t>(6), 1741-1754.</w:t>
          </w:r>
        </w:p>
        <w:p w14:paraId="4A41F74E" w14:textId="20E14650"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 xml:space="preserve">Khoshnevisan, B., Rafiee, S., Omid, M., Mousazadeh, H., Shamshirband, S., </w:t>
          </w:r>
          <w:r w:rsidR="005E21EF">
            <w:rPr>
              <w:rFonts w:eastAsia="Calibri"/>
              <w:lang w:val="en-US" w:eastAsia="en-US"/>
            </w:rPr>
            <w:t xml:space="preserve">&amp; Ab Hamid, S. H. (2015). </w:t>
          </w:r>
          <w:r w:rsidRPr="00105C17">
            <w:rPr>
              <w:rFonts w:eastAsia="Calibri"/>
              <w:lang w:val="en-US" w:eastAsia="en-US"/>
            </w:rPr>
            <w:t>Developing a fuzzy clustering model for better energy use in farm management systems</w:t>
          </w:r>
          <w:r w:rsidR="005E21EF">
            <w:rPr>
              <w:rFonts w:eastAsia="Calibri"/>
              <w:lang w:val="en-US" w:eastAsia="en-US"/>
            </w:rPr>
            <w:t xml:space="preserve">. </w:t>
          </w:r>
          <w:r w:rsidRPr="00105C17">
            <w:rPr>
              <w:rFonts w:eastAsia="Calibri"/>
              <w:lang w:val="en-US" w:eastAsia="en-US"/>
            </w:rPr>
            <w:t xml:space="preserve"> </w:t>
          </w:r>
          <w:r w:rsidRPr="00105C17">
            <w:rPr>
              <w:rFonts w:eastAsia="Calibri"/>
              <w:i/>
              <w:iCs/>
              <w:lang w:val="en-US" w:eastAsia="en-US"/>
            </w:rPr>
            <w:t>Renewable and Sustainable Energy Reviews</w:t>
          </w:r>
          <w:r w:rsidRPr="005E21EF">
            <w:rPr>
              <w:rFonts w:eastAsia="Calibri"/>
              <w:i/>
              <w:lang w:val="en-US" w:eastAsia="en-US"/>
            </w:rPr>
            <w:t xml:space="preserve">, </w:t>
          </w:r>
          <w:r w:rsidRPr="005E21EF">
            <w:rPr>
              <w:rFonts w:eastAsia="Calibri"/>
              <w:i/>
              <w:iCs/>
              <w:lang w:val="en-US" w:eastAsia="en-US"/>
            </w:rPr>
            <w:t>48</w:t>
          </w:r>
          <w:r w:rsidRPr="00105C17">
            <w:rPr>
              <w:rFonts w:eastAsia="Calibri"/>
              <w:lang w:val="en-US" w:eastAsia="en-US"/>
            </w:rPr>
            <w:t>, 27-34.</w:t>
          </w:r>
        </w:p>
        <w:p w14:paraId="5FB9477F" w14:textId="5C1DBFA7"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 xml:space="preserve">Klawonn, F., Kruse, R., </w:t>
          </w:r>
          <w:r w:rsidR="005E21EF">
            <w:rPr>
              <w:rFonts w:eastAsia="Calibri"/>
              <w:lang w:val="en-US" w:eastAsia="en-US"/>
            </w:rPr>
            <w:t>&amp;</w:t>
          </w:r>
          <w:r w:rsidRPr="00105C17">
            <w:rPr>
              <w:rFonts w:eastAsia="Calibri"/>
              <w:lang w:val="en-US" w:eastAsia="en-US"/>
            </w:rPr>
            <w:t xml:space="preserve"> Winkler, R. (2015)</w:t>
          </w:r>
          <w:r w:rsidR="005E21EF">
            <w:rPr>
              <w:rFonts w:eastAsia="Calibri"/>
              <w:lang w:val="en-US" w:eastAsia="en-US"/>
            </w:rPr>
            <w:t xml:space="preserve">. </w:t>
          </w:r>
          <w:r w:rsidRPr="00105C17">
            <w:rPr>
              <w:rFonts w:eastAsia="Calibri"/>
              <w:lang w:val="en-US" w:eastAsia="en-US"/>
            </w:rPr>
            <w:t>Fuzzy clustering: More than just fuzzification</w:t>
          </w:r>
          <w:r w:rsidR="005E21EF">
            <w:rPr>
              <w:rFonts w:eastAsia="Calibri"/>
              <w:lang w:val="en-US" w:eastAsia="en-US"/>
            </w:rPr>
            <w:t>.</w:t>
          </w:r>
          <w:r w:rsidRPr="00105C17">
            <w:rPr>
              <w:rFonts w:eastAsia="Calibri"/>
              <w:lang w:val="en-US" w:eastAsia="en-US"/>
            </w:rPr>
            <w:t xml:space="preserve"> </w:t>
          </w:r>
          <w:r w:rsidRPr="00105C17">
            <w:rPr>
              <w:rFonts w:eastAsia="Calibri"/>
              <w:i/>
              <w:iCs/>
              <w:lang w:val="en-US" w:eastAsia="en-US"/>
            </w:rPr>
            <w:t>Fuzzy sets and systems</w:t>
          </w:r>
          <w:r w:rsidRPr="005E21EF">
            <w:rPr>
              <w:rFonts w:eastAsia="Calibri"/>
              <w:i/>
              <w:lang w:val="en-US" w:eastAsia="en-US"/>
            </w:rPr>
            <w:t xml:space="preserve">, </w:t>
          </w:r>
          <w:r w:rsidRPr="005E21EF">
            <w:rPr>
              <w:rFonts w:eastAsia="Calibri"/>
              <w:i/>
              <w:iCs/>
              <w:lang w:val="en-US" w:eastAsia="en-US"/>
            </w:rPr>
            <w:t>281</w:t>
          </w:r>
          <w:r w:rsidRPr="00105C17">
            <w:rPr>
              <w:rFonts w:eastAsia="Calibri"/>
              <w:lang w:val="en-US" w:eastAsia="en-US"/>
            </w:rPr>
            <w:t>, 272-279.</w:t>
          </w:r>
        </w:p>
        <w:p w14:paraId="61F8BD02" w14:textId="10665240"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Legros, M. (2009)</w:t>
          </w:r>
          <w:r w:rsidR="005E21EF">
            <w:rPr>
              <w:rFonts w:eastAsia="Calibri"/>
              <w:lang w:val="en-US" w:eastAsia="en-US"/>
            </w:rPr>
            <w:t>.</w:t>
          </w:r>
          <w:r w:rsidRPr="00105C17">
            <w:rPr>
              <w:rFonts w:eastAsia="Calibri"/>
              <w:lang w:val="en-US" w:eastAsia="en-US"/>
            </w:rPr>
            <w:t xml:space="preserve"> </w:t>
          </w:r>
          <w:r w:rsidRPr="00105C17">
            <w:rPr>
              <w:rFonts w:eastAsia="Calibri"/>
              <w:i/>
              <w:lang w:val="en-US" w:eastAsia="en-US"/>
            </w:rPr>
            <w:t>Minimum Income Schemes. From Crisis to Another, The French Experience of Means-tested Benefits</w:t>
          </w:r>
          <w:r w:rsidRPr="00105C17">
            <w:rPr>
              <w:rFonts w:eastAsia="Calibri"/>
              <w:lang w:val="en-US" w:eastAsia="en-US"/>
            </w:rPr>
            <w:t>, Brussels: European Commission.</w:t>
          </w:r>
        </w:p>
        <w:p w14:paraId="1E77E8D2" w14:textId="1546218E"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shd w:val="clear" w:color="auto" w:fill="FFFFFF"/>
              <w:lang w:val="en-US" w:eastAsia="en-US"/>
            </w:rPr>
            <w:t xml:space="preserve">Liu, J. S., Lu, L. Y., Lu, W. M., </w:t>
          </w:r>
          <w:r w:rsidR="005E21EF">
            <w:rPr>
              <w:rFonts w:eastAsia="Calibri"/>
              <w:shd w:val="clear" w:color="auto" w:fill="FFFFFF"/>
              <w:lang w:val="en-US" w:eastAsia="en-US"/>
            </w:rPr>
            <w:t>&amp;</w:t>
          </w:r>
          <w:r w:rsidRPr="00105C17">
            <w:rPr>
              <w:rFonts w:eastAsia="Calibri"/>
              <w:shd w:val="clear" w:color="auto" w:fill="FFFFFF"/>
              <w:lang w:val="en-US" w:eastAsia="en-US"/>
            </w:rPr>
            <w:t xml:space="preserve"> Lin, B. J. (2013)</w:t>
          </w:r>
          <w:r w:rsidR="005E21EF">
            <w:rPr>
              <w:rFonts w:eastAsia="Calibri"/>
              <w:shd w:val="clear" w:color="auto" w:fill="FFFFFF"/>
              <w:lang w:val="en-US" w:eastAsia="en-US"/>
            </w:rPr>
            <w:t xml:space="preserve">. </w:t>
          </w:r>
          <w:r w:rsidRPr="00105C17">
            <w:rPr>
              <w:rFonts w:eastAsia="Calibri"/>
              <w:shd w:val="clear" w:color="auto" w:fill="FFFFFF"/>
              <w:lang w:val="en-US" w:eastAsia="en-US"/>
            </w:rPr>
            <w:t>A survey of DEA applications</w:t>
          </w:r>
          <w:r w:rsidR="005E21EF">
            <w:rPr>
              <w:rFonts w:eastAsia="Calibri"/>
              <w:shd w:val="clear" w:color="auto" w:fill="FFFFFF"/>
              <w:lang w:val="en-US" w:eastAsia="en-US"/>
            </w:rPr>
            <w:t>.</w:t>
          </w:r>
          <w:r w:rsidRPr="00105C17">
            <w:rPr>
              <w:rFonts w:eastAsia="Calibri"/>
              <w:shd w:val="clear" w:color="auto" w:fill="FFFFFF"/>
              <w:lang w:val="en-US" w:eastAsia="en-US"/>
            </w:rPr>
            <w:t> </w:t>
          </w:r>
          <w:r w:rsidRPr="00105C17">
            <w:rPr>
              <w:rFonts w:eastAsia="Calibri"/>
              <w:i/>
              <w:iCs/>
              <w:shd w:val="clear" w:color="auto" w:fill="FFFFFF"/>
              <w:lang w:val="en-US" w:eastAsia="en-US"/>
            </w:rPr>
            <w:t>Omega</w:t>
          </w:r>
          <w:r w:rsidRPr="005E21EF">
            <w:rPr>
              <w:rFonts w:eastAsia="Calibri"/>
              <w:i/>
              <w:shd w:val="clear" w:color="auto" w:fill="FFFFFF"/>
              <w:lang w:val="en-US" w:eastAsia="en-US"/>
            </w:rPr>
            <w:t>, </w:t>
          </w:r>
          <w:r w:rsidRPr="005E21EF">
            <w:rPr>
              <w:rFonts w:eastAsia="Calibri"/>
              <w:i/>
              <w:iCs/>
              <w:shd w:val="clear" w:color="auto" w:fill="FFFFFF"/>
              <w:lang w:val="en-US" w:eastAsia="en-US"/>
            </w:rPr>
            <w:t>41</w:t>
          </w:r>
          <w:r w:rsidRPr="00105C17">
            <w:rPr>
              <w:rFonts w:eastAsia="Calibri"/>
              <w:shd w:val="clear" w:color="auto" w:fill="FFFFFF"/>
              <w:lang w:val="en-US" w:eastAsia="en-US"/>
            </w:rPr>
            <w:t>(5), 893-902.</w:t>
          </w:r>
        </w:p>
        <w:p w14:paraId="792B73C3" w14:textId="28E029E3"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Nelson, K. (2003)</w:t>
          </w:r>
          <w:r w:rsidR="005E21EF">
            <w:rPr>
              <w:rFonts w:eastAsia="Calibri"/>
              <w:lang w:val="en-US" w:eastAsia="en-US"/>
            </w:rPr>
            <w:t xml:space="preserve">. </w:t>
          </w:r>
          <w:r w:rsidRPr="00105C17">
            <w:rPr>
              <w:rFonts w:eastAsia="Calibri"/>
              <w:lang w:val="en-US" w:eastAsia="en-US"/>
            </w:rPr>
            <w:t>Fighting Poverty: Comparative Studies on Social Insurance, Means-tested Benefits and Income Redistribution</w:t>
          </w:r>
          <w:r w:rsidR="005E21EF">
            <w:rPr>
              <w:rFonts w:eastAsia="Calibri"/>
              <w:lang w:val="en-US" w:eastAsia="en-US"/>
            </w:rPr>
            <w:t>.</w:t>
          </w:r>
          <w:r w:rsidRPr="00105C17">
            <w:rPr>
              <w:rFonts w:eastAsia="Calibri"/>
              <w:lang w:val="en-US" w:eastAsia="en-US"/>
            </w:rPr>
            <w:t xml:space="preserve"> </w:t>
          </w:r>
          <w:r w:rsidRPr="00105C17">
            <w:rPr>
              <w:rFonts w:eastAsia="Calibri"/>
              <w:i/>
              <w:lang w:val="en-US" w:eastAsia="en-US"/>
            </w:rPr>
            <w:t>Dissertation Series</w:t>
          </w:r>
          <w:r w:rsidRPr="00105C17">
            <w:rPr>
              <w:rFonts w:eastAsia="Calibri"/>
              <w:lang w:val="en-US" w:eastAsia="en-US"/>
            </w:rPr>
            <w:t xml:space="preserve"> No. 60, Stockholm: Swedish Institute for Social Research. </w:t>
          </w:r>
        </w:p>
        <w:p w14:paraId="1304F7E1" w14:textId="5498655B"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Oxley,</w:t>
          </w:r>
          <w:r w:rsidR="005E21EF">
            <w:rPr>
              <w:rFonts w:eastAsia="Calibri"/>
              <w:lang w:val="en-US" w:eastAsia="en-US"/>
            </w:rPr>
            <w:t xml:space="preserve"> H., Dang, Th.-Th., Förster, M., &amp;</w:t>
          </w:r>
          <w:r w:rsidRPr="00105C17">
            <w:rPr>
              <w:rFonts w:eastAsia="Calibri"/>
              <w:lang w:val="en-US" w:eastAsia="en-US"/>
            </w:rPr>
            <w:t xml:space="preserve"> Pellizari, M. (2001)</w:t>
          </w:r>
          <w:r w:rsidR="005E21EF">
            <w:rPr>
              <w:rFonts w:eastAsia="Calibri"/>
              <w:lang w:val="en-US" w:eastAsia="en-US"/>
            </w:rPr>
            <w:t xml:space="preserve">. </w:t>
          </w:r>
          <w:r w:rsidRPr="00105C17">
            <w:rPr>
              <w:rFonts w:eastAsia="Calibri"/>
              <w:lang w:val="en-US" w:eastAsia="en-US"/>
            </w:rPr>
            <w:t>Income inequalities and poverty among children and households with children in selected OECD countries</w:t>
          </w:r>
          <w:r w:rsidR="005E21EF">
            <w:rPr>
              <w:rFonts w:eastAsia="Calibri"/>
              <w:lang w:val="en-US" w:eastAsia="en-US"/>
            </w:rPr>
            <w:t>. In</w:t>
          </w:r>
          <w:r w:rsidRPr="00105C17">
            <w:rPr>
              <w:rFonts w:eastAsia="Calibri"/>
              <w:lang w:val="en-US" w:eastAsia="en-US"/>
            </w:rPr>
            <w:t xml:space="preserve"> K. Vleminckx y  T. Smeeding </w:t>
          </w:r>
          <w:r w:rsidRPr="00105C17">
            <w:rPr>
              <w:rFonts w:eastAsia="Calibri"/>
              <w:lang w:val="en-US" w:eastAsia="en-US"/>
            </w:rPr>
            <w:lastRenderedPageBreak/>
            <w:t xml:space="preserve">(eds), </w:t>
          </w:r>
          <w:r w:rsidRPr="00105C17">
            <w:rPr>
              <w:rFonts w:eastAsia="Calibri"/>
              <w:i/>
              <w:lang w:val="en-US" w:eastAsia="en-US"/>
            </w:rPr>
            <w:t>Child Well-being, Child Poverty and Child Policy in Modern Nations: What do we know</w:t>
          </w:r>
          <w:r w:rsidRPr="00105C17">
            <w:rPr>
              <w:rFonts w:eastAsia="Calibri"/>
              <w:lang w:val="en-US" w:eastAsia="en-US"/>
            </w:rPr>
            <w:t>, Bristol: Policy Press, pp. 371-405.</w:t>
          </w:r>
        </w:p>
        <w:p w14:paraId="40A625EA" w14:textId="130BF9DB" w:rsidR="00105C17" w:rsidRPr="00105C17" w:rsidRDefault="00105C17" w:rsidP="00563E85">
          <w:pPr>
            <w:shd w:val="clear" w:color="auto" w:fill="FFFFFF"/>
            <w:spacing w:after="200" w:line="276" w:lineRule="auto"/>
            <w:ind w:left="284" w:hanging="284"/>
            <w:jc w:val="both"/>
            <w:textAlignment w:val="baseline"/>
            <w:rPr>
              <w:rFonts w:eastAsia="Calibri"/>
              <w:lang w:val="en-US" w:eastAsia="en-US"/>
            </w:rPr>
          </w:pPr>
          <w:r w:rsidRPr="00105C17">
            <w:rPr>
              <w:rFonts w:eastAsia="Calibri"/>
              <w:lang w:val="en-US" w:eastAsia="en-US"/>
            </w:rPr>
            <w:t>Radu, M. (2009)</w:t>
          </w:r>
          <w:r w:rsidR="005E21EF">
            <w:rPr>
              <w:rFonts w:eastAsia="Calibri"/>
              <w:lang w:val="en-US" w:eastAsia="en-US"/>
            </w:rPr>
            <w:t>.</w:t>
          </w:r>
          <w:r w:rsidRPr="00105C17">
            <w:rPr>
              <w:rFonts w:eastAsia="Calibri"/>
              <w:lang w:val="en-US" w:eastAsia="en-US"/>
            </w:rPr>
            <w:t xml:space="preserve"> </w:t>
          </w:r>
          <w:r w:rsidRPr="00105C17">
            <w:rPr>
              <w:rFonts w:eastAsia="Calibri"/>
              <w:i/>
              <w:lang w:val="en-US" w:eastAsia="en-US"/>
            </w:rPr>
            <w:t>Analysis of the Situation in Relation to Minimum Income Schemes in Romania. A Study of National Policies</w:t>
          </w:r>
          <w:r w:rsidRPr="00105C17">
            <w:rPr>
              <w:rFonts w:eastAsia="Calibri"/>
              <w:lang w:val="en-US" w:eastAsia="en-US"/>
            </w:rPr>
            <w:t>. Brussels: European Commission.</w:t>
          </w:r>
        </w:p>
        <w:p w14:paraId="41095E2B" w14:textId="3D140886" w:rsidR="00105C17" w:rsidRPr="00105C17" w:rsidRDefault="005E21EF" w:rsidP="00563E85">
          <w:pPr>
            <w:shd w:val="clear" w:color="auto" w:fill="FFFFFF"/>
            <w:spacing w:after="200" w:line="276" w:lineRule="auto"/>
            <w:ind w:left="284" w:hanging="284"/>
            <w:jc w:val="both"/>
            <w:textAlignment w:val="baseline"/>
            <w:rPr>
              <w:rFonts w:eastAsia="Times New Roman"/>
              <w:lang w:val="en-US" w:eastAsia="ca-ES"/>
            </w:rPr>
          </w:pPr>
          <w:r>
            <w:rPr>
              <w:rFonts w:eastAsia="Calibri"/>
              <w:lang w:val="en-US" w:eastAsia="en-US"/>
            </w:rPr>
            <w:t xml:space="preserve">Ruoppila, S., &amp; </w:t>
          </w:r>
          <w:r w:rsidR="00105C17" w:rsidRPr="00105C17">
            <w:rPr>
              <w:rFonts w:eastAsia="Calibri"/>
              <w:lang w:val="en-US" w:eastAsia="en-US"/>
            </w:rPr>
            <w:t>Lamminmäki, S. (2009)</w:t>
          </w:r>
          <w:r>
            <w:rPr>
              <w:rFonts w:eastAsia="Calibri"/>
              <w:lang w:val="en-US" w:eastAsia="en-US"/>
            </w:rPr>
            <w:t>.</w:t>
          </w:r>
          <w:r w:rsidR="00105C17" w:rsidRPr="00105C17">
            <w:rPr>
              <w:rFonts w:eastAsia="Calibri"/>
              <w:lang w:val="en-US" w:eastAsia="en-US"/>
            </w:rPr>
            <w:t xml:space="preserve"> </w:t>
          </w:r>
          <w:r w:rsidR="00105C17" w:rsidRPr="00105C17">
            <w:rPr>
              <w:rFonts w:eastAsia="Calibri"/>
              <w:i/>
              <w:lang w:val="en-US" w:eastAsia="en-US"/>
            </w:rPr>
            <w:t>Minimum Income Schemes. A Study of National Policies</w:t>
          </w:r>
          <w:r w:rsidR="00105C17" w:rsidRPr="00105C17">
            <w:rPr>
              <w:rFonts w:eastAsia="Calibri"/>
              <w:lang w:val="en-US" w:eastAsia="en-US"/>
            </w:rPr>
            <w:t>. Brussels: European Commission</w:t>
          </w:r>
          <w:r w:rsidR="00105C17" w:rsidRPr="00105C17">
            <w:rPr>
              <w:rFonts w:eastAsia="Times New Roman"/>
              <w:lang w:val="en-US" w:eastAsia="ca-ES"/>
            </w:rPr>
            <w:t>.</w:t>
          </w:r>
        </w:p>
        <w:p w14:paraId="1F6E817F" w14:textId="15CCCC3A" w:rsidR="00105C17" w:rsidRPr="00105C17" w:rsidRDefault="00105C17" w:rsidP="00563E85">
          <w:pPr>
            <w:spacing w:after="200" w:line="276" w:lineRule="auto"/>
            <w:ind w:left="284" w:hanging="284"/>
            <w:jc w:val="both"/>
            <w:rPr>
              <w:rFonts w:eastAsia="Calibri"/>
              <w:color w:val="222222"/>
              <w:shd w:val="clear" w:color="auto" w:fill="FFFFFF"/>
              <w:lang w:val="en-US" w:eastAsia="en-US"/>
            </w:rPr>
          </w:pPr>
          <w:r w:rsidRPr="00105C17">
            <w:rPr>
              <w:rFonts w:eastAsia="Calibri"/>
              <w:color w:val="222222"/>
              <w:shd w:val="clear" w:color="auto" w:fill="FFFFFF"/>
              <w:lang w:val="en-US" w:eastAsia="en-US"/>
            </w:rPr>
            <w:t xml:space="preserve">Sherman, H. D., </w:t>
          </w:r>
          <w:r w:rsidR="005E21EF">
            <w:rPr>
              <w:rFonts w:eastAsia="Calibri"/>
              <w:color w:val="222222"/>
              <w:shd w:val="clear" w:color="auto" w:fill="FFFFFF"/>
              <w:lang w:val="en-US" w:eastAsia="en-US"/>
            </w:rPr>
            <w:t>&amp;</w:t>
          </w:r>
          <w:r w:rsidRPr="00105C17">
            <w:rPr>
              <w:rFonts w:eastAsia="Calibri"/>
              <w:color w:val="222222"/>
              <w:shd w:val="clear" w:color="auto" w:fill="FFFFFF"/>
              <w:lang w:val="en-US" w:eastAsia="en-US"/>
            </w:rPr>
            <w:t xml:space="preserve"> Zhu, J. (2006)</w:t>
          </w:r>
          <w:r w:rsidR="005E21EF">
            <w:rPr>
              <w:rFonts w:eastAsia="Calibri"/>
              <w:color w:val="222222"/>
              <w:shd w:val="clear" w:color="auto" w:fill="FFFFFF"/>
              <w:lang w:val="en-US" w:eastAsia="en-US"/>
            </w:rPr>
            <w:t xml:space="preserve">. </w:t>
          </w:r>
          <w:r w:rsidRPr="00105C17">
            <w:rPr>
              <w:rFonts w:eastAsia="Calibri"/>
              <w:color w:val="222222"/>
              <w:shd w:val="clear" w:color="auto" w:fill="FFFFFF"/>
              <w:lang w:val="en-US" w:eastAsia="en-US"/>
            </w:rPr>
            <w:t>Data Envelopment Analysis Explained</w:t>
          </w:r>
          <w:r w:rsidR="005E21EF">
            <w:rPr>
              <w:rFonts w:eastAsia="Calibri"/>
              <w:color w:val="222222"/>
              <w:shd w:val="clear" w:color="auto" w:fill="FFFFFF"/>
              <w:lang w:val="en-US" w:eastAsia="en-US"/>
            </w:rPr>
            <w:t xml:space="preserve">. </w:t>
          </w:r>
          <w:r w:rsidRPr="00105C17">
            <w:rPr>
              <w:rFonts w:eastAsia="Calibri"/>
              <w:i/>
              <w:iCs/>
              <w:color w:val="222222"/>
              <w:shd w:val="clear" w:color="auto" w:fill="FFFFFF"/>
              <w:lang w:val="en-US" w:eastAsia="en-US"/>
            </w:rPr>
            <w:t>Service Productivity Management: Improving Service Performance using Data Envelopment Analysis (DEA)</w:t>
          </w:r>
          <w:r w:rsidRPr="00105C17">
            <w:rPr>
              <w:rFonts w:eastAsia="Calibri"/>
              <w:color w:val="222222"/>
              <w:shd w:val="clear" w:color="auto" w:fill="FFFFFF"/>
              <w:lang w:val="en-US" w:eastAsia="en-US"/>
            </w:rPr>
            <w:t>, 49-89.</w:t>
          </w:r>
        </w:p>
        <w:p w14:paraId="6D6AB1DC" w14:textId="17FC0D5F" w:rsidR="00105C17" w:rsidRPr="006A0594" w:rsidRDefault="005E21EF" w:rsidP="00563E85">
          <w:pPr>
            <w:spacing w:after="200" w:line="276" w:lineRule="auto"/>
            <w:ind w:left="284" w:hanging="284"/>
            <w:jc w:val="both"/>
            <w:rPr>
              <w:rFonts w:eastAsia="Calibri"/>
              <w:u w:val="single"/>
              <w:lang w:val="en-US" w:eastAsia="en-US"/>
            </w:rPr>
          </w:pPr>
          <w:r>
            <w:rPr>
              <w:rFonts w:eastAsia="Calibri"/>
              <w:lang w:val="en-US" w:eastAsia="en-US"/>
            </w:rPr>
            <w:t xml:space="preserve">Vandenbroucke, F., &amp; </w:t>
          </w:r>
          <w:r w:rsidR="00105C17" w:rsidRPr="00105C17">
            <w:rPr>
              <w:rFonts w:eastAsia="Calibri"/>
              <w:lang w:val="en-US" w:eastAsia="en-US"/>
            </w:rPr>
            <w:t>Vleminckx, K. (2011)</w:t>
          </w:r>
          <w:r>
            <w:rPr>
              <w:rFonts w:eastAsia="Calibri"/>
              <w:lang w:val="en-US" w:eastAsia="en-US"/>
            </w:rPr>
            <w:t xml:space="preserve">. </w:t>
          </w:r>
          <w:r w:rsidR="00105C17" w:rsidRPr="00105C17">
            <w:rPr>
              <w:rFonts w:eastAsia="Calibri"/>
              <w:lang w:val="en-US" w:eastAsia="en-US"/>
            </w:rPr>
            <w:t>Disappointing poverty trends: is the social investment state to blame? An exercise in soul-searching for policy-makers</w:t>
          </w:r>
          <w:r>
            <w:rPr>
              <w:rFonts w:eastAsia="Calibri"/>
              <w:lang w:val="en-US" w:eastAsia="en-US"/>
            </w:rPr>
            <w:t>.</w:t>
          </w:r>
          <w:r w:rsidR="00105C17" w:rsidRPr="00105C17">
            <w:rPr>
              <w:rFonts w:eastAsia="Calibri"/>
              <w:lang w:val="en-US" w:eastAsia="en-US"/>
            </w:rPr>
            <w:t xml:space="preserve"> </w:t>
          </w:r>
          <w:r w:rsidR="00105C17" w:rsidRPr="00105C17">
            <w:rPr>
              <w:rFonts w:eastAsia="Calibri"/>
              <w:i/>
              <w:lang w:val="en-US" w:eastAsia="en-US"/>
            </w:rPr>
            <w:t>Working Paper</w:t>
          </w:r>
          <w:r w:rsidR="00105C17" w:rsidRPr="00105C17">
            <w:rPr>
              <w:rFonts w:eastAsia="Calibri"/>
              <w:lang w:val="en-US" w:eastAsia="en-US"/>
            </w:rPr>
            <w:t xml:space="preserve"> No. 11 / 01, University of </w:t>
          </w:r>
          <w:r w:rsidR="00105C17" w:rsidRPr="00394AD0">
            <w:rPr>
              <w:rFonts w:eastAsia="Calibri"/>
              <w:lang w:val="en-US" w:eastAsia="en-US"/>
            </w:rPr>
            <w:t>Antwerp.</w:t>
          </w:r>
          <w:r w:rsidR="00394AD0" w:rsidRPr="006A0594">
            <w:rPr>
              <w:rFonts w:eastAsia="Calibri"/>
              <w:u w:val="single"/>
              <w:lang w:val="en-US" w:eastAsia="en-US"/>
            </w:rPr>
            <w:t xml:space="preserve"> </w:t>
          </w:r>
        </w:p>
        <w:p w14:paraId="31364520" w14:textId="0E4E5082" w:rsidR="00105C17" w:rsidRPr="00105C17" w:rsidRDefault="005E21EF" w:rsidP="00563E85">
          <w:pPr>
            <w:spacing w:after="200" w:line="276" w:lineRule="auto"/>
            <w:ind w:left="284" w:hanging="284"/>
            <w:jc w:val="both"/>
            <w:rPr>
              <w:rFonts w:eastAsia="Calibri"/>
              <w:lang w:val="en-US" w:eastAsia="en-US"/>
            </w:rPr>
          </w:pPr>
          <w:r>
            <w:rPr>
              <w:rFonts w:eastAsia="Calibri"/>
              <w:lang w:val="en-US" w:eastAsia="en-US"/>
            </w:rPr>
            <w:t>Wang, W., &amp;</w:t>
          </w:r>
          <w:r w:rsidR="00105C17" w:rsidRPr="00105C17">
            <w:rPr>
              <w:rFonts w:eastAsia="Calibri"/>
              <w:lang w:val="en-US" w:eastAsia="en-US"/>
            </w:rPr>
            <w:t xml:space="preserve"> Zhang, Y. (2007)</w:t>
          </w:r>
          <w:r>
            <w:rPr>
              <w:rFonts w:eastAsia="Calibri"/>
              <w:lang w:val="en-US" w:eastAsia="en-US"/>
            </w:rPr>
            <w:t xml:space="preserve">. </w:t>
          </w:r>
          <w:r w:rsidR="00105C17" w:rsidRPr="00105C17">
            <w:rPr>
              <w:rFonts w:eastAsia="Calibri"/>
              <w:lang w:val="en-US" w:eastAsia="en-US"/>
            </w:rPr>
            <w:t>On fuzzy cluster validity indices</w:t>
          </w:r>
          <w:r>
            <w:rPr>
              <w:rFonts w:eastAsia="Calibri"/>
              <w:lang w:val="en-US" w:eastAsia="en-US"/>
            </w:rPr>
            <w:t>.</w:t>
          </w:r>
          <w:r w:rsidR="00105C17" w:rsidRPr="00105C17">
            <w:rPr>
              <w:rFonts w:eastAsia="Calibri"/>
              <w:lang w:val="en-US" w:eastAsia="en-US"/>
            </w:rPr>
            <w:t xml:space="preserve"> </w:t>
          </w:r>
          <w:r w:rsidR="00105C17" w:rsidRPr="00105C17">
            <w:rPr>
              <w:rFonts w:eastAsia="Calibri"/>
              <w:i/>
              <w:iCs/>
              <w:lang w:val="en-US" w:eastAsia="en-US"/>
            </w:rPr>
            <w:t>Fuzzy sets and systems</w:t>
          </w:r>
          <w:r w:rsidR="00105C17" w:rsidRPr="005E21EF">
            <w:rPr>
              <w:rFonts w:eastAsia="Calibri"/>
              <w:i/>
              <w:lang w:val="en-US" w:eastAsia="en-US"/>
            </w:rPr>
            <w:t xml:space="preserve">, </w:t>
          </w:r>
          <w:r w:rsidR="00105C17" w:rsidRPr="005E21EF">
            <w:rPr>
              <w:rFonts w:eastAsia="Calibri"/>
              <w:i/>
              <w:iCs/>
              <w:lang w:val="en-US" w:eastAsia="en-US"/>
            </w:rPr>
            <w:t>158</w:t>
          </w:r>
          <w:r w:rsidR="00105C17" w:rsidRPr="00105C17">
            <w:rPr>
              <w:rFonts w:eastAsia="Calibri"/>
              <w:lang w:val="en-US" w:eastAsia="en-US"/>
            </w:rPr>
            <w:t>(19), 2095-2117.</w:t>
          </w:r>
        </w:p>
        <w:p w14:paraId="0A06AE60" w14:textId="1194EFC9" w:rsidR="00105C17" w:rsidRPr="00105C17" w:rsidRDefault="00105C17" w:rsidP="00563E85">
          <w:pPr>
            <w:spacing w:after="200" w:line="276" w:lineRule="auto"/>
            <w:ind w:left="284" w:hanging="284"/>
            <w:jc w:val="both"/>
            <w:rPr>
              <w:rFonts w:eastAsia="Calibri"/>
              <w:lang w:val="en-US" w:eastAsia="en-US"/>
            </w:rPr>
          </w:pPr>
          <w:r w:rsidRPr="00105C17">
            <w:rPr>
              <w:rFonts w:eastAsia="Calibri"/>
              <w:lang w:val="en-US" w:eastAsia="en-US"/>
            </w:rPr>
            <w:t xml:space="preserve">Wu, </w:t>
          </w:r>
          <w:r w:rsidR="005E21EF">
            <w:rPr>
              <w:rFonts w:eastAsia="Calibri"/>
              <w:lang w:val="en-US" w:eastAsia="en-US"/>
            </w:rPr>
            <w:t>D., Yan, D.</w:t>
          </w:r>
          <w:r w:rsidRPr="00105C17">
            <w:rPr>
              <w:rFonts w:eastAsia="Calibri"/>
              <w:lang w:val="en-US" w:eastAsia="en-US"/>
            </w:rPr>
            <w:t xml:space="preserve">H., Yang, G.Y., </w:t>
          </w:r>
          <w:r w:rsidR="005E21EF">
            <w:rPr>
              <w:rFonts w:eastAsia="Calibri"/>
              <w:lang w:val="en-US" w:eastAsia="en-US"/>
            </w:rPr>
            <w:t>Wang, X.G., Xiao, W.</w:t>
          </w:r>
          <w:r w:rsidRPr="00105C17">
            <w:rPr>
              <w:rFonts w:eastAsia="Calibri"/>
              <w:lang w:val="en-US" w:eastAsia="en-US"/>
            </w:rPr>
            <w:t>H.</w:t>
          </w:r>
          <w:r w:rsidR="005E21EF">
            <w:rPr>
              <w:rFonts w:eastAsia="Calibri"/>
              <w:lang w:val="en-US" w:eastAsia="en-US"/>
            </w:rPr>
            <w:t>, &amp; Zhang, H.</w:t>
          </w:r>
          <w:r w:rsidRPr="00105C17">
            <w:rPr>
              <w:rFonts w:eastAsia="Calibri"/>
              <w:lang w:val="en-US" w:eastAsia="en-US"/>
            </w:rPr>
            <w:t>T. (2013)</w:t>
          </w:r>
          <w:r w:rsidR="005E21EF">
            <w:rPr>
              <w:rFonts w:eastAsia="Calibri"/>
              <w:lang w:val="en-US" w:eastAsia="en-US"/>
            </w:rPr>
            <w:t xml:space="preserve">. </w:t>
          </w:r>
          <w:r w:rsidRPr="00105C17">
            <w:rPr>
              <w:rFonts w:eastAsia="Calibri"/>
              <w:lang w:val="en-US" w:eastAsia="en-US"/>
            </w:rPr>
            <w:t>Assessment on agricultural drought vulnerability in the Yellow River basin based on a fuzzy clustering iterative model</w:t>
          </w:r>
          <w:r w:rsidR="005E21EF">
            <w:rPr>
              <w:rFonts w:eastAsia="Calibri"/>
              <w:lang w:val="en-US" w:eastAsia="en-US"/>
            </w:rPr>
            <w:t xml:space="preserve">. </w:t>
          </w:r>
          <w:r w:rsidRPr="00105C17">
            <w:rPr>
              <w:rFonts w:eastAsia="Calibri"/>
              <w:i/>
              <w:iCs/>
              <w:lang w:val="en-US" w:eastAsia="en-US"/>
            </w:rPr>
            <w:t>Natural hazards</w:t>
          </w:r>
          <w:r w:rsidRPr="005E21EF">
            <w:rPr>
              <w:rFonts w:eastAsia="Calibri"/>
              <w:i/>
              <w:lang w:val="en-US" w:eastAsia="en-US"/>
            </w:rPr>
            <w:t xml:space="preserve">, </w:t>
          </w:r>
          <w:r w:rsidRPr="005E21EF">
            <w:rPr>
              <w:rFonts w:eastAsia="Calibri"/>
              <w:i/>
              <w:iCs/>
              <w:lang w:val="en-US" w:eastAsia="en-US"/>
            </w:rPr>
            <w:t>67</w:t>
          </w:r>
          <w:r w:rsidRPr="00105C17">
            <w:rPr>
              <w:rFonts w:eastAsia="Calibri"/>
              <w:lang w:val="en-US" w:eastAsia="en-US"/>
            </w:rPr>
            <w:t>(2), 919-936.</w:t>
          </w:r>
        </w:p>
        <w:p w14:paraId="3D5C52DF" w14:textId="5D46FBD5" w:rsidR="00105C17" w:rsidRPr="00105C17" w:rsidRDefault="005E21EF" w:rsidP="00563E85">
          <w:pPr>
            <w:spacing w:after="200" w:line="276" w:lineRule="auto"/>
            <w:ind w:left="284" w:hanging="284"/>
            <w:jc w:val="both"/>
            <w:rPr>
              <w:rFonts w:eastAsia="Times New Roman"/>
              <w:lang w:val="en-US"/>
            </w:rPr>
          </w:pPr>
          <w:r w:rsidRPr="00F977B5">
            <w:rPr>
              <w:rFonts w:eastAsia="Times New Roman"/>
              <w:lang w:val="en-GB"/>
            </w:rPr>
            <w:t>Xie, X.L., &amp;</w:t>
          </w:r>
          <w:r w:rsidR="00105C17" w:rsidRPr="00F977B5">
            <w:rPr>
              <w:rFonts w:eastAsia="Times New Roman"/>
              <w:lang w:val="en-GB"/>
            </w:rPr>
            <w:t xml:space="preserve"> Beni, G. (1991)</w:t>
          </w:r>
          <w:r w:rsidRPr="00F977B5">
            <w:rPr>
              <w:rFonts w:eastAsia="Times New Roman"/>
              <w:lang w:val="en-GB"/>
            </w:rPr>
            <w:t xml:space="preserve">. </w:t>
          </w:r>
          <w:r w:rsidR="00105C17" w:rsidRPr="00105C17">
            <w:rPr>
              <w:rFonts w:eastAsia="Times New Roman"/>
              <w:lang w:val="en-US"/>
            </w:rPr>
            <w:t>A validity measure for fuzzy clustering</w:t>
          </w:r>
          <w:r w:rsidR="00105C17" w:rsidRPr="00105C17">
            <w:rPr>
              <w:rFonts w:eastAsia="Calibri"/>
              <w:shd w:val="clear" w:color="auto" w:fill="FFFFFF"/>
              <w:lang w:val="en-US" w:eastAsia="en-US"/>
            </w:rPr>
            <w:t>»,</w:t>
          </w:r>
          <w:r w:rsidR="00105C17" w:rsidRPr="00105C17">
            <w:rPr>
              <w:rFonts w:eastAsia="Calibri"/>
              <w:lang w:val="en-US" w:eastAsia="en-US"/>
            </w:rPr>
            <w:t xml:space="preserve"> </w:t>
          </w:r>
          <w:r w:rsidR="00105C17" w:rsidRPr="00105C17">
            <w:rPr>
              <w:rFonts w:eastAsia="Times New Roman"/>
              <w:i/>
              <w:iCs/>
              <w:lang w:val="en-US"/>
            </w:rPr>
            <w:t>IEEE Transactions on pattern analysis and machine intelligence</w:t>
          </w:r>
          <w:r w:rsidR="00105C17" w:rsidRPr="005E21EF">
            <w:rPr>
              <w:rFonts w:eastAsia="Times New Roman"/>
              <w:i/>
              <w:lang w:val="en-US"/>
            </w:rPr>
            <w:t xml:space="preserve">, </w:t>
          </w:r>
          <w:r w:rsidR="00105C17" w:rsidRPr="005E21EF">
            <w:rPr>
              <w:rFonts w:eastAsia="Times New Roman"/>
              <w:i/>
              <w:iCs/>
              <w:lang w:val="en-US"/>
            </w:rPr>
            <w:t>13</w:t>
          </w:r>
          <w:r w:rsidR="00105C17" w:rsidRPr="00105C17">
            <w:rPr>
              <w:rFonts w:eastAsia="Times New Roman"/>
              <w:lang w:val="en-US"/>
            </w:rPr>
            <w:t>(8), 841-847.</w:t>
          </w:r>
        </w:p>
        <w:p w14:paraId="19E3FF1E" w14:textId="2B00C026" w:rsidR="00105C17" w:rsidRPr="00105C17" w:rsidRDefault="005E21EF" w:rsidP="00563E85">
          <w:pPr>
            <w:spacing w:after="200" w:line="276" w:lineRule="auto"/>
            <w:ind w:left="284" w:hanging="284"/>
            <w:jc w:val="both"/>
            <w:rPr>
              <w:rFonts w:eastAsia="Calibri"/>
              <w:lang w:val="en-US" w:eastAsia="en-US"/>
            </w:rPr>
          </w:pPr>
          <w:r>
            <w:rPr>
              <w:rFonts w:eastAsia="Calibri"/>
              <w:lang w:val="en-US" w:eastAsia="en-US"/>
            </w:rPr>
            <w:t>Yu, S., Wei, Y.M., &amp;</w:t>
          </w:r>
          <w:r w:rsidR="00105C17" w:rsidRPr="00105C17">
            <w:rPr>
              <w:rFonts w:eastAsia="Calibri"/>
              <w:lang w:val="en-US" w:eastAsia="en-US"/>
            </w:rPr>
            <w:t xml:space="preserve"> Wang, K. (2014)</w:t>
          </w:r>
          <w:r>
            <w:rPr>
              <w:rFonts w:eastAsia="Calibri"/>
              <w:lang w:val="en-US" w:eastAsia="en-US"/>
            </w:rPr>
            <w:t xml:space="preserve">. </w:t>
          </w:r>
          <w:r w:rsidR="00105C17" w:rsidRPr="00105C17">
            <w:rPr>
              <w:rFonts w:eastAsia="Calibri"/>
              <w:lang w:val="en-US" w:eastAsia="en-US"/>
            </w:rPr>
            <w:t>Provincial allocation of carbon emission reduction targets in China: an approach based on improved fuzzy cluster and Shapley value decomposition</w:t>
          </w:r>
          <w:r>
            <w:rPr>
              <w:rFonts w:eastAsia="Calibri"/>
              <w:lang w:val="en-US" w:eastAsia="en-US"/>
            </w:rPr>
            <w:t>.</w:t>
          </w:r>
          <w:r w:rsidR="00105C17" w:rsidRPr="00105C17">
            <w:rPr>
              <w:rFonts w:eastAsia="Calibri"/>
              <w:lang w:val="en-US" w:eastAsia="en-US"/>
            </w:rPr>
            <w:t xml:space="preserve"> </w:t>
          </w:r>
          <w:r w:rsidR="00105C17" w:rsidRPr="00105C17">
            <w:rPr>
              <w:rFonts w:eastAsia="Calibri"/>
              <w:i/>
              <w:iCs/>
              <w:lang w:val="en-US" w:eastAsia="en-US"/>
            </w:rPr>
            <w:t>Energy Policy</w:t>
          </w:r>
          <w:r w:rsidR="00105C17" w:rsidRPr="005E21EF">
            <w:rPr>
              <w:rFonts w:eastAsia="Calibri"/>
              <w:i/>
              <w:lang w:val="en-US" w:eastAsia="en-US"/>
            </w:rPr>
            <w:t xml:space="preserve">, </w:t>
          </w:r>
          <w:r w:rsidR="00105C17" w:rsidRPr="005E21EF">
            <w:rPr>
              <w:rFonts w:eastAsia="Calibri"/>
              <w:i/>
              <w:iCs/>
              <w:lang w:val="en-US" w:eastAsia="en-US"/>
            </w:rPr>
            <w:t>66</w:t>
          </w:r>
          <w:r w:rsidR="00105C17" w:rsidRPr="00105C17">
            <w:rPr>
              <w:rFonts w:eastAsia="Calibri"/>
              <w:lang w:val="en-US" w:eastAsia="en-US"/>
            </w:rPr>
            <w:t>, 630-644.</w:t>
          </w:r>
        </w:p>
        <w:p w14:paraId="5ABEEE06" w14:textId="55FEA668" w:rsidR="00105C17" w:rsidRPr="00105C17" w:rsidRDefault="005E21EF" w:rsidP="00563E85">
          <w:pPr>
            <w:spacing w:after="200" w:line="276" w:lineRule="auto"/>
            <w:ind w:left="284" w:hanging="284"/>
            <w:jc w:val="both"/>
            <w:rPr>
              <w:rFonts w:eastAsia="Calibri"/>
              <w:lang w:val="en-US" w:eastAsia="en-US"/>
            </w:rPr>
          </w:pPr>
          <w:r>
            <w:rPr>
              <w:rFonts w:eastAsia="Calibri"/>
              <w:lang w:val="en-US" w:eastAsia="en-US"/>
            </w:rPr>
            <w:t>Yu, S., Wei, Y.</w:t>
          </w:r>
          <w:r w:rsidR="00105C17" w:rsidRPr="00105C17">
            <w:rPr>
              <w:rFonts w:eastAsia="Calibri"/>
              <w:lang w:val="en-US" w:eastAsia="en-US"/>
            </w:rPr>
            <w:t>M., Fan, J., Zhang, X.</w:t>
          </w:r>
          <w:r>
            <w:rPr>
              <w:rFonts w:eastAsia="Calibri"/>
              <w:lang w:val="en-US" w:eastAsia="en-US"/>
            </w:rPr>
            <w:t>, &amp;</w:t>
          </w:r>
          <w:r w:rsidR="00105C17" w:rsidRPr="00105C17">
            <w:rPr>
              <w:rFonts w:eastAsia="Calibri"/>
              <w:lang w:val="en-US" w:eastAsia="en-US"/>
            </w:rPr>
            <w:t xml:space="preserve"> Wang, K. (2012)</w:t>
          </w:r>
          <w:r>
            <w:rPr>
              <w:rFonts w:eastAsia="Calibri"/>
              <w:lang w:val="en-US" w:eastAsia="en-US"/>
            </w:rPr>
            <w:t xml:space="preserve">. </w:t>
          </w:r>
          <w:r w:rsidR="00105C17" w:rsidRPr="00105C17">
            <w:rPr>
              <w:rFonts w:eastAsia="Calibri"/>
              <w:lang w:val="en-US" w:eastAsia="en-US"/>
            </w:rPr>
            <w:t>Exploring the regional characteristics of inter-provincial CO2 emissions in China: An improved fuzzy clustering analysis based on particle swarm optimization</w:t>
          </w:r>
          <w:r>
            <w:rPr>
              <w:rFonts w:eastAsia="Calibri"/>
              <w:lang w:val="en-US" w:eastAsia="en-US"/>
            </w:rPr>
            <w:t xml:space="preserve">. </w:t>
          </w:r>
          <w:r>
            <w:rPr>
              <w:rFonts w:eastAsia="Calibri"/>
              <w:i/>
              <w:iCs/>
              <w:lang w:val="en-US" w:eastAsia="en-US"/>
            </w:rPr>
            <w:t>Applied E</w:t>
          </w:r>
          <w:r w:rsidR="00105C17" w:rsidRPr="00105C17">
            <w:rPr>
              <w:rFonts w:eastAsia="Calibri"/>
              <w:i/>
              <w:iCs/>
              <w:lang w:val="en-US" w:eastAsia="en-US"/>
            </w:rPr>
            <w:t>nergy</w:t>
          </w:r>
          <w:r w:rsidR="00105C17" w:rsidRPr="005E21EF">
            <w:rPr>
              <w:rFonts w:eastAsia="Calibri"/>
              <w:i/>
              <w:lang w:val="en-US" w:eastAsia="en-US"/>
            </w:rPr>
            <w:t xml:space="preserve">, </w:t>
          </w:r>
          <w:r w:rsidR="00105C17" w:rsidRPr="005E21EF">
            <w:rPr>
              <w:rFonts w:eastAsia="Calibri"/>
              <w:i/>
              <w:iCs/>
              <w:lang w:val="en-US" w:eastAsia="en-US"/>
            </w:rPr>
            <w:t>92</w:t>
          </w:r>
          <w:r w:rsidR="00105C17" w:rsidRPr="00105C17">
            <w:rPr>
              <w:rFonts w:eastAsia="Calibri"/>
              <w:lang w:val="en-US" w:eastAsia="en-US"/>
            </w:rPr>
            <w:t>, 552-</w:t>
          </w:r>
          <w:r>
            <w:rPr>
              <w:rFonts w:eastAsia="Calibri"/>
              <w:lang w:val="en-US" w:eastAsia="en-US"/>
            </w:rPr>
            <w:t>5</w:t>
          </w:r>
          <w:r w:rsidR="00105C17" w:rsidRPr="00105C17">
            <w:rPr>
              <w:rFonts w:eastAsia="Calibri"/>
              <w:lang w:val="en-US" w:eastAsia="en-US"/>
            </w:rPr>
            <w:t>56</w:t>
          </w:r>
        </w:p>
        <w:p w14:paraId="69BE4AFF" w14:textId="77777777" w:rsidR="00105C17" w:rsidRPr="00105C17" w:rsidRDefault="00105C17" w:rsidP="00563E85">
          <w:pPr>
            <w:spacing w:after="200" w:line="276" w:lineRule="auto"/>
            <w:ind w:left="284" w:hanging="284"/>
            <w:jc w:val="both"/>
            <w:rPr>
              <w:rFonts w:eastAsia="Calibri"/>
              <w:lang w:val="en-US" w:eastAsia="en-US"/>
            </w:rPr>
          </w:pPr>
        </w:p>
        <w:p w14:paraId="4DE24CF8" w14:textId="481267B1" w:rsidR="0011720A" w:rsidRPr="006A0594" w:rsidRDefault="00006FB0" w:rsidP="00563E85">
          <w:pPr>
            <w:spacing w:after="200" w:line="276" w:lineRule="auto"/>
            <w:ind w:left="284" w:hanging="284"/>
            <w:jc w:val="both"/>
          </w:pPr>
        </w:p>
      </w:sdtContent>
    </w:sdt>
    <w:sectPr w:rsidR="0011720A" w:rsidRPr="006A0594" w:rsidSect="0037449D">
      <w:type w:val="continuous"/>
      <w:pgSz w:w="11900" w:h="16838"/>
      <w:pgMar w:top="1440" w:right="1440" w:bottom="1440" w:left="1440" w:header="0" w:footer="420" w:gutter="0"/>
      <w:cols w:space="720" w:equalWidth="0">
        <w:col w:w="90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FD3A2" w14:textId="77777777" w:rsidR="00157F5E" w:rsidRDefault="00157F5E" w:rsidP="00F87B1A">
      <w:r>
        <w:separator/>
      </w:r>
    </w:p>
  </w:endnote>
  <w:endnote w:type="continuationSeparator" w:id="0">
    <w:p w14:paraId="722F94B1" w14:textId="77777777" w:rsidR="00157F5E" w:rsidRDefault="00157F5E" w:rsidP="00F8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53716"/>
      <w:docPartObj>
        <w:docPartGallery w:val="Page Numbers (Bottom of Page)"/>
        <w:docPartUnique/>
      </w:docPartObj>
    </w:sdtPr>
    <w:sdtEndPr/>
    <w:sdtContent>
      <w:p w14:paraId="62556772" w14:textId="1B5861FA" w:rsidR="00157F5E" w:rsidRDefault="00157F5E">
        <w:pPr>
          <w:pStyle w:val="Piedepgina"/>
          <w:jc w:val="center"/>
        </w:pPr>
        <w:r w:rsidRPr="0037449D">
          <w:rPr>
            <w:sz w:val="21"/>
            <w:szCs w:val="21"/>
          </w:rPr>
          <w:fldChar w:fldCharType="begin"/>
        </w:r>
        <w:r w:rsidRPr="0037449D">
          <w:rPr>
            <w:sz w:val="21"/>
            <w:szCs w:val="21"/>
          </w:rPr>
          <w:instrText>PAGE   \* MERGEFORMAT</w:instrText>
        </w:r>
        <w:r w:rsidRPr="0037449D">
          <w:rPr>
            <w:sz w:val="21"/>
            <w:szCs w:val="21"/>
          </w:rPr>
          <w:fldChar w:fldCharType="separate"/>
        </w:r>
        <w:r w:rsidR="00006FB0">
          <w:rPr>
            <w:noProof/>
            <w:sz w:val="21"/>
            <w:szCs w:val="21"/>
          </w:rPr>
          <w:t>97</w:t>
        </w:r>
        <w:r w:rsidRPr="0037449D">
          <w:rPr>
            <w:sz w:val="21"/>
            <w:szCs w:val="21"/>
          </w:rPr>
          <w:fldChar w:fldCharType="end"/>
        </w:r>
      </w:p>
    </w:sdtContent>
  </w:sdt>
  <w:p w14:paraId="39A6829C" w14:textId="77777777" w:rsidR="00157F5E" w:rsidRDefault="00157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CED1" w14:textId="77777777" w:rsidR="00157F5E" w:rsidRDefault="00157F5E" w:rsidP="00F87B1A">
      <w:r>
        <w:separator/>
      </w:r>
    </w:p>
  </w:footnote>
  <w:footnote w:type="continuationSeparator" w:id="0">
    <w:p w14:paraId="702A6154" w14:textId="77777777" w:rsidR="00157F5E" w:rsidRDefault="00157F5E" w:rsidP="00F87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447A5F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9198476"/>
    <w:multiLevelType w:val="multilevel"/>
    <w:tmpl w:val="9A342C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48189575"/>
    <w:multiLevelType w:val="multilevel"/>
    <w:tmpl w:val="F288CBA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B1"/>
    <w:rsid w:val="00006D2C"/>
    <w:rsid w:val="00006FB0"/>
    <w:rsid w:val="000577F7"/>
    <w:rsid w:val="00073600"/>
    <w:rsid w:val="000B0D11"/>
    <w:rsid w:val="000B4D16"/>
    <w:rsid w:val="000D5E04"/>
    <w:rsid w:val="00105C17"/>
    <w:rsid w:val="00113F33"/>
    <w:rsid w:val="00117032"/>
    <w:rsid w:val="0011720A"/>
    <w:rsid w:val="0012661B"/>
    <w:rsid w:val="00157F5E"/>
    <w:rsid w:val="001659A2"/>
    <w:rsid w:val="00182B9D"/>
    <w:rsid w:val="001C41C8"/>
    <w:rsid w:val="001D3178"/>
    <w:rsid w:val="001D71CA"/>
    <w:rsid w:val="001F7A7B"/>
    <w:rsid w:val="00215C0B"/>
    <w:rsid w:val="00254A48"/>
    <w:rsid w:val="00272699"/>
    <w:rsid w:val="00283AFC"/>
    <w:rsid w:val="00293E79"/>
    <w:rsid w:val="0029512B"/>
    <w:rsid w:val="002D2A50"/>
    <w:rsid w:val="002D6F3B"/>
    <w:rsid w:val="002F2846"/>
    <w:rsid w:val="003012B8"/>
    <w:rsid w:val="003131B8"/>
    <w:rsid w:val="00321107"/>
    <w:rsid w:val="00325804"/>
    <w:rsid w:val="00331613"/>
    <w:rsid w:val="003345A3"/>
    <w:rsid w:val="003434F6"/>
    <w:rsid w:val="00366266"/>
    <w:rsid w:val="0037449D"/>
    <w:rsid w:val="00380952"/>
    <w:rsid w:val="00381624"/>
    <w:rsid w:val="0039365D"/>
    <w:rsid w:val="00394AD0"/>
    <w:rsid w:val="003E01E1"/>
    <w:rsid w:val="003F7716"/>
    <w:rsid w:val="00440419"/>
    <w:rsid w:val="004457C1"/>
    <w:rsid w:val="00485AF6"/>
    <w:rsid w:val="004959DF"/>
    <w:rsid w:val="004A69A9"/>
    <w:rsid w:val="004C7AF5"/>
    <w:rsid w:val="004E7F44"/>
    <w:rsid w:val="00500D9D"/>
    <w:rsid w:val="00543110"/>
    <w:rsid w:val="00563E85"/>
    <w:rsid w:val="00576DA9"/>
    <w:rsid w:val="0058113F"/>
    <w:rsid w:val="005B7244"/>
    <w:rsid w:val="005E21EF"/>
    <w:rsid w:val="005F1A1A"/>
    <w:rsid w:val="0063016D"/>
    <w:rsid w:val="006624FA"/>
    <w:rsid w:val="00681458"/>
    <w:rsid w:val="006A0594"/>
    <w:rsid w:val="006D686E"/>
    <w:rsid w:val="006F701C"/>
    <w:rsid w:val="0070122C"/>
    <w:rsid w:val="00702255"/>
    <w:rsid w:val="00712432"/>
    <w:rsid w:val="0071425F"/>
    <w:rsid w:val="00727D8F"/>
    <w:rsid w:val="007320EF"/>
    <w:rsid w:val="00753271"/>
    <w:rsid w:val="007545A5"/>
    <w:rsid w:val="0075756B"/>
    <w:rsid w:val="00780461"/>
    <w:rsid w:val="00786673"/>
    <w:rsid w:val="007A336A"/>
    <w:rsid w:val="007A725D"/>
    <w:rsid w:val="007C0A33"/>
    <w:rsid w:val="007D542B"/>
    <w:rsid w:val="007E07E0"/>
    <w:rsid w:val="007E416E"/>
    <w:rsid w:val="007E6B73"/>
    <w:rsid w:val="007F48BD"/>
    <w:rsid w:val="0083150C"/>
    <w:rsid w:val="00841F46"/>
    <w:rsid w:val="00872D62"/>
    <w:rsid w:val="00873F32"/>
    <w:rsid w:val="00903973"/>
    <w:rsid w:val="00913E46"/>
    <w:rsid w:val="009542D7"/>
    <w:rsid w:val="009714B8"/>
    <w:rsid w:val="009B29D4"/>
    <w:rsid w:val="009B2BDA"/>
    <w:rsid w:val="009B51C3"/>
    <w:rsid w:val="00A25CB6"/>
    <w:rsid w:val="00A274CF"/>
    <w:rsid w:val="00A46622"/>
    <w:rsid w:val="00A74D4A"/>
    <w:rsid w:val="00A800B5"/>
    <w:rsid w:val="00A807B1"/>
    <w:rsid w:val="00A86211"/>
    <w:rsid w:val="00A92CE5"/>
    <w:rsid w:val="00A94CE3"/>
    <w:rsid w:val="00AC028D"/>
    <w:rsid w:val="00AD36BA"/>
    <w:rsid w:val="00B1606A"/>
    <w:rsid w:val="00B23B4B"/>
    <w:rsid w:val="00B2680D"/>
    <w:rsid w:val="00B40A4F"/>
    <w:rsid w:val="00B45983"/>
    <w:rsid w:val="00B63ADE"/>
    <w:rsid w:val="00B70816"/>
    <w:rsid w:val="00B8246B"/>
    <w:rsid w:val="00B976A2"/>
    <w:rsid w:val="00BA6D9A"/>
    <w:rsid w:val="00BF0600"/>
    <w:rsid w:val="00C02DC2"/>
    <w:rsid w:val="00C36C51"/>
    <w:rsid w:val="00C63E8D"/>
    <w:rsid w:val="00C85853"/>
    <w:rsid w:val="00C917E3"/>
    <w:rsid w:val="00CA1F94"/>
    <w:rsid w:val="00CA2BA5"/>
    <w:rsid w:val="00CD3350"/>
    <w:rsid w:val="00CF7440"/>
    <w:rsid w:val="00D122DE"/>
    <w:rsid w:val="00DA1F63"/>
    <w:rsid w:val="00DA351D"/>
    <w:rsid w:val="00DE2C46"/>
    <w:rsid w:val="00DE3ABA"/>
    <w:rsid w:val="00DF237E"/>
    <w:rsid w:val="00DF2421"/>
    <w:rsid w:val="00DF427B"/>
    <w:rsid w:val="00E1207E"/>
    <w:rsid w:val="00E15974"/>
    <w:rsid w:val="00E26993"/>
    <w:rsid w:val="00E541B1"/>
    <w:rsid w:val="00E81F49"/>
    <w:rsid w:val="00E820C6"/>
    <w:rsid w:val="00EA141D"/>
    <w:rsid w:val="00EC1F40"/>
    <w:rsid w:val="00EE723D"/>
    <w:rsid w:val="00EE7CAD"/>
    <w:rsid w:val="00EF0939"/>
    <w:rsid w:val="00F357CB"/>
    <w:rsid w:val="00F4657E"/>
    <w:rsid w:val="00F615DF"/>
    <w:rsid w:val="00F7665C"/>
    <w:rsid w:val="00F76887"/>
    <w:rsid w:val="00F87B1A"/>
    <w:rsid w:val="00F977B5"/>
    <w:rsid w:val="00FC4FF9"/>
    <w:rsid w:val="00FD47CD"/>
    <w:rsid w:val="00FF3086"/>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CE4251"/>
  <w15:docId w15:val="{730036EB-0BCA-456D-8D61-3E660239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44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7B1A"/>
    <w:pPr>
      <w:tabs>
        <w:tab w:val="center" w:pos="4252"/>
        <w:tab w:val="right" w:pos="8504"/>
      </w:tabs>
    </w:pPr>
  </w:style>
  <w:style w:type="character" w:customStyle="1" w:styleId="EncabezadoCar">
    <w:name w:val="Encabezado Car"/>
    <w:basedOn w:val="Fuentedeprrafopredeter"/>
    <w:link w:val="Encabezado"/>
    <w:rsid w:val="00F87B1A"/>
  </w:style>
  <w:style w:type="paragraph" w:styleId="Piedepgina">
    <w:name w:val="footer"/>
    <w:basedOn w:val="Normal"/>
    <w:link w:val="PiedepginaCar"/>
    <w:uiPriority w:val="99"/>
    <w:unhideWhenUsed/>
    <w:rsid w:val="00F87B1A"/>
    <w:pPr>
      <w:tabs>
        <w:tab w:val="center" w:pos="4252"/>
        <w:tab w:val="right" w:pos="8504"/>
      </w:tabs>
    </w:pPr>
  </w:style>
  <w:style w:type="character" w:customStyle="1" w:styleId="PiedepginaCar">
    <w:name w:val="Pie de página Car"/>
    <w:basedOn w:val="Fuentedeprrafopredeter"/>
    <w:link w:val="Piedepgina"/>
    <w:uiPriority w:val="99"/>
    <w:rsid w:val="00F87B1A"/>
  </w:style>
  <w:style w:type="character" w:styleId="Refdecomentario">
    <w:name w:val="annotation reference"/>
    <w:basedOn w:val="Fuentedeprrafopredeter"/>
    <w:uiPriority w:val="99"/>
    <w:semiHidden/>
    <w:unhideWhenUsed/>
    <w:rsid w:val="00254A48"/>
    <w:rPr>
      <w:sz w:val="16"/>
      <w:szCs w:val="16"/>
    </w:rPr>
  </w:style>
  <w:style w:type="paragraph" w:styleId="Textocomentario">
    <w:name w:val="annotation text"/>
    <w:basedOn w:val="Normal"/>
    <w:link w:val="TextocomentarioCar"/>
    <w:uiPriority w:val="99"/>
    <w:semiHidden/>
    <w:unhideWhenUsed/>
    <w:rsid w:val="00254A48"/>
    <w:rPr>
      <w:sz w:val="20"/>
      <w:szCs w:val="20"/>
    </w:rPr>
  </w:style>
  <w:style w:type="character" w:customStyle="1" w:styleId="TextocomentarioCar">
    <w:name w:val="Texto comentario Car"/>
    <w:basedOn w:val="Fuentedeprrafopredeter"/>
    <w:link w:val="Textocomentario"/>
    <w:uiPriority w:val="99"/>
    <w:semiHidden/>
    <w:rsid w:val="00254A48"/>
    <w:rPr>
      <w:sz w:val="20"/>
      <w:szCs w:val="20"/>
    </w:rPr>
  </w:style>
  <w:style w:type="paragraph" w:styleId="Asuntodelcomentario">
    <w:name w:val="annotation subject"/>
    <w:basedOn w:val="Textocomentario"/>
    <w:next w:val="Textocomentario"/>
    <w:link w:val="AsuntodelcomentarioCar"/>
    <w:semiHidden/>
    <w:unhideWhenUsed/>
    <w:rsid w:val="00254A48"/>
    <w:rPr>
      <w:b/>
      <w:bCs/>
    </w:rPr>
  </w:style>
  <w:style w:type="character" w:customStyle="1" w:styleId="AsuntodelcomentarioCar">
    <w:name w:val="Asunto del comentario Car"/>
    <w:basedOn w:val="TextocomentarioCar"/>
    <w:link w:val="Asuntodelcomentario"/>
    <w:semiHidden/>
    <w:rsid w:val="00254A48"/>
    <w:rPr>
      <w:b/>
      <w:bCs/>
      <w:sz w:val="20"/>
      <w:szCs w:val="20"/>
    </w:rPr>
  </w:style>
  <w:style w:type="paragraph" w:styleId="Textodeglobo">
    <w:name w:val="Balloon Text"/>
    <w:basedOn w:val="Normal"/>
    <w:link w:val="TextodegloboCar"/>
    <w:semiHidden/>
    <w:unhideWhenUsed/>
    <w:rsid w:val="00254A48"/>
    <w:rPr>
      <w:rFonts w:ascii="Segoe UI" w:hAnsi="Segoe UI" w:cs="Segoe UI"/>
      <w:sz w:val="18"/>
      <w:szCs w:val="18"/>
    </w:rPr>
  </w:style>
  <w:style w:type="character" w:customStyle="1" w:styleId="TextodegloboCar">
    <w:name w:val="Texto de globo Car"/>
    <w:basedOn w:val="Fuentedeprrafopredeter"/>
    <w:link w:val="Textodeglobo"/>
    <w:semiHidden/>
    <w:rsid w:val="00254A48"/>
    <w:rPr>
      <w:rFonts w:ascii="Segoe UI" w:hAnsi="Segoe UI" w:cs="Segoe UI"/>
      <w:sz w:val="18"/>
      <w:szCs w:val="18"/>
    </w:rPr>
  </w:style>
  <w:style w:type="paragraph" w:customStyle="1" w:styleId="Ttulo11">
    <w:name w:val="Título 11"/>
    <w:basedOn w:val="Normal"/>
    <w:next w:val="Textoindependiente"/>
    <w:uiPriority w:val="9"/>
    <w:qFormat/>
    <w:rsid w:val="0037449D"/>
    <w:pPr>
      <w:keepNext/>
      <w:keepLines/>
      <w:spacing w:before="480"/>
      <w:outlineLvl w:val="0"/>
    </w:pPr>
    <w:rPr>
      <w:rFonts w:ascii="Calibri" w:eastAsia="Times New Roman" w:hAnsi="Calibri"/>
      <w:b/>
      <w:bCs/>
      <w:color w:val="345A8A"/>
      <w:sz w:val="32"/>
      <w:szCs w:val="32"/>
      <w:lang w:val="en-US" w:eastAsia="en-US"/>
    </w:rPr>
  </w:style>
  <w:style w:type="paragraph" w:customStyle="1" w:styleId="Ttulo21">
    <w:name w:val="Título 21"/>
    <w:basedOn w:val="Normal"/>
    <w:next w:val="Textoindependiente"/>
    <w:uiPriority w:val="9"/>
    <w:unhideWhenUsed/>
    <w:qFormat/>
    <w:rsid w:val="0037449D"/>
    <w:pPr>
      <w:keepNext/>
      <w:keepLines/>
      <w:spacing w:before="200"/>
      <w:outlineLvl w:val="1"/>
    </w:pPr>
    <w:rPr>
      <w:rFonts w:ascii="Calibri" w:eastAsia="Times New Roman" w:hAnsi="Calibri"/>
      <w:b/>
      <w:bCs/>
      <w:color w:val="4F81BD"/>
      <w:sz w:val="32"/>
      <w:szCs w:val="32"/>
      <w:lang w:val="en-US" w:eastAsia="en-US"/>
    </w:rPr>
  </w:style>
  <w:style w:type="paragraph" w:customStyle="1" w:styleId="Ttulo31">
    <w:name w:val="Título 31"/>
    <w:basedOn w:val="Normal"/>
    <w:next w:val="Textoindependiente"/>
    <w:uiPriority w:val="9"/>
    <w:unhideWhenUsed/>
    <w:qFormat/>
    <w:rsid w:val="0037449D"/>
    <w:pPr>
      <w:keepNext/>
      <w:keepLines/>
      <w:spacing w:before="200"/>
      <w:outlineLvl w:val="2"/>
    </w:pPr>
    <w:rPr>
      <w:rFonts w:ascii="Calibri" w:eastAsia="Times New Roman" w:hAnsi="Calibri"/>
      <w:b/>
      <w:bCs/>
      <w:color w:val="4F81BD"/>
      <w:sz w:val="28"/>
      <w:szCs w:val="28"/>
      <w:lang w:val="en-US" w:eastAsia="en-US"/>
    </w:rPr>
  </w:style>
  <w:style w:type="paragraph" w:customStyle="1" w:styleId="Ttulo41">
    <w:name w:val="Título 41"/>
    <w:basedOn w:val="Normal"/>
    <w:next w:val="Textoindependiente"/>
    <w:uiPriority w:val="9"/>
    <w:unhideWhenUsed/>
    <w:qFormat/>
    <w:rsid w:val="0037449D"/>
    <w:pPr>
      <w:keepNext/>
      <w:keepLines/>
      <w:spacing w:before="200"/>
      <w:outlineLvl w:val="3"/>
    </w:pPr>
    <w:rPr>
      <w:rFonts w:ascii="Calibri" w:eastAsia="Times New Roman" w:hAnsi="Calibri"/>
      <w:b/>
      <w:bCs/>
      <w:color w:val="4F81BD"/>
      <w:sz w:val="24"/>
      <w:szCs w:val="24"/>
      <w:lang w:val="en-US" w:eastAsia="en-US"/>
    </w:rPr>
  </w:style>
  <w:style w:type="paragraph" w:customStyle="1" w:styleId="Ttulo51">
    <w:name w:val="Título 51"/>
    <w:basedOn w:val="Normal"/>
    <w:next w:val="Textoindependiente"/>
    <w:uiPriority w:val="9"/>
    <w:unhideWhenUsed/>
    <w:qFormat/>
    <w:rsid w:val="0037449D"/>
    <w:pPr>
      <w:keepNext/>
      <w:keepLines/>
      <w:spacing w:before="200"/>
      <w:outlineLvl w:val="4"/>
    </w:pPr>
    <w:rPr>
      <w:rFonts w:ascii="Calibri" w:eastAsia="Times New Roman" w:hAnsi="Calibri"/>
      <w:i/>
      <w:iCs/>
      <w:color w:val="4F81BD"/>
      <w:sz w:val="24"/>
      <w:szCs w:val="24"/>
      <w:lang w:val="en-US" w:eastAsia="en-US"/>
    </w:rPr>
  </w:style>
  <w:style w:type="paragraph" w:customStyle="1" w:styleId="Ttulo61">
    <w:name w:val="Título 61"/>
    <w:basedOn w:val="Normal"/>
    <w:next w:val="Textoindependiente"/>
    <w:uiPriority w:val="9"/>
    <w:unhideWhenUsed/>
    <w:qFormat/>
    <w:rsid w:val="0037449D"/>
    <w:pPr>
      <w:keepNext/>
      <w:keepLines/>
      <w:spacing w:before="200"/>
      <w:outlineLvl w:val="5"/>
    </w:pPr>
    <w:rPr>
      <w:rFonts w:ascii="Calibri" w:eastAsia="Times New Roman" w:hAnsi="Calibri"/>
      <w:color w:val="4F81BD"/>
      <w:sz w:val="24"/>
      <w:szCs w:val="24"/>
      <w:lang w:val="en-US" w:eastAsia="en-US"/>
    </w:rPr>
  </w:style>
  <w:style w:type="numbering" w:customStyle="1" w:styleId="Sinlista1">
    <w:name w:val="Sin lista1"/>
    <w:next w:val="Sinlista"/>
    <w:uiPriority w:val="99"/>
    <w:semiHidden/>
    <w:unhideWhenUsed/>
    <w:rsid w:val="0037449D"/>
  </w:style>
  <w:style w:type="paragraph" w:customStyle="1" w:styleId="Textoindependiente1">
    <w:name w:val="Texto independiente1"/>
    <w:basedOn w:val="Normal"/>
    <w:next w:val="Textoindependiente"/>
    <w:qFormat/>
    <w:rsid w:val="0037449D"/>
    <w:pPr>
      <w:spacing w:before="180" w:after="180"/>
    </w:pPr>
    <w:rPr>
      <w:rFonts w:ascii="Cambria" w:eastAsia="Cambria" w:hAnsi="Cambria"/>
      <w:sz w:val="24"/>
      <w:szCs w:val="24"/>
      <w:lang w:val="en-US" w:eastAsia="en-US"/>
    </w:rPr>
  </w:style>
  <w:style w:type="paragraph" w:customStyle="1" w:styleId="FirstParagraph">
    <w:name w:val="First Paragraph"/>
    <w:basedOn w:val="Textoindependiente"/>
    <w:next w:val="Textoindependiente"/>
    <w:qFormat/>
    <w:rsid w:val="0037449D"/>
    <w:pPr>
      <w:spacing w:before="180" w:after="180"/>
    </w:pPr>
    <w:rPr>
      <w:rFonts w:ascii="Cambria" w:eastAsia="Cambria" w:hAnsi="Cambria"/>
      <w:sz w:val="24"/>
      <w:szCs w:val="24"/>
      <w:lang w:val="en-US" w:eastAsia="en-US"/>
    </w:rPr>
  </w:style>
  <w:style w:type="paragraph" w:customStyle="1" w:styleId="Compact">
    <w:name w:val="Compact"/>
    <w:basedOn w:val="Textoindependiente"/>
    <w:qFormat/>
    <w:rsid w:val="0037449D"/>
    <w:pPr>
      <w:spacing w:before="36" w:after="36"/>
    </w:pPr>
    <w:rPr>
      <w:rFonts w:ascii="Cambria" w:eastAsia="Cambria" w:hAnsi="Cambria"/>
      <w:sz w:val="24"/>
      <w:szCs w:val="24"/>
      <w:lang w:val="en-US" w:eastAsia="en-US"/>
    </w:rPr>
  </w:style>
  <w:style w:type="paragraph" w:customStyle="1" w:styleId="Ttulo10">
    <w:name w:val="Título1"/>
    <w:basedOn w:val="Normal"/>
    <w:next w:val="Textoindependiente"/>
    <w:qFormat/>
    <w:rsid w:val="0037449D"/>
    <w:pPr>
      <w:keepNext/>
      <w:keepLines/>
      <w:spacing w:before="480" w:after="240"/>
      <w:jc w:val="center"/>
    </w:pPr>
    <w:rPr>
      <w:rFonts w:ascii="Calibri" w:eastAsia="Times New Roman" w:hAnsi="Calibri"/>
      <w:b/>
      <w:bCs/>
      <w:color w:val="345A8A"/>
      <w:sz w:val="36"/>
      <w:szCs w:val="36"/>
      <w:lang w:val="en-US" w:eastAsia="en-US"/>
    </w:rPr>
  </w:style>
  <w:style w:type="paragraph" w:styleId="Subttulo">
    <w:name w:val="Subtitle"/>
    <w:basedOn w:val="Ttulo"/>
    <w:next w:val="Textoindependiente"/>
    <w:link w:val="SubttuloCar"/>
    <w:qFormat/>
    <w:rsid w:val="0037449D"/>
    <w:pPr>
      <w:keepNext/>
      <w:keepLines/>
      <w:spacing w:before="240" w:after="240"/>
      <w:contextualSpacing w:val="0"/>
      <w:jc w:val="center"/>
    </w:pPr>
    <w:rPr>
      <w:b/>
      <w:bCs/>
      <w:color w:val="345A8A"/>
      <w:spacing w:val="0"/>
      <w:kern w:val="0"/>
      <w:sz w:val="30"/>
      <w:szCs w:val="30"/>
      <w:lang w:val="en-US" w:eastAsia="en-US"/>
    </w:rPr>
  </w:style>
  <w:style w:type="character" w:customStyle="1" w:styleId="SubttuloCar">
    <w:name w:val="Subtítulo Car"/>
    <w:basedOn w:val="Fuentedeprrafopredeter"/>
    <w:link w:val="Subttulo"/>
    <w:rsid w:val="0037449D"/>
    <w:rPr>
      <w:rFonts w:asciiTheme="majorHAnsi" w:eastAsiaTheme="majorEastAsia" w:hAnsiTheme="majorHAnsi" w:cstheme="majorBidi"/>
      <w:b/>
      <w:bCs/>
      <w:color w:val="345A8A"/>
      <w:sz w:val="30"/>
      <w:szCs w:val="30"/>
      <w:lang w:val="en-US" w:eastAsia="en-US"/>
    </w:rPr>
  </w:style>
  <w:style w:type="paragraph" w:customStyle="1" w:styleId="Author">
    <w:name w:val="Author"/>
    <w:next w:val="Textoindependiente"/>
    <w:qFormat/>
    <w:rsid w:val="0037449D"/>
    <w:pPr>
      <w:keepNext/>
      <w:keepLines/>
      <w:spacing w:after="200"/>
      <w:jc w:val="center"/>
    </w:pPr>
    <w:rPr>
      <w:rFonts w:ascii="Cambria" w:eastAsia="Cambria" w:hAnsi="Cambria"/>
      <w:sz w:val="24"/>
      <w:szCs w:val="24"/>
      <w:lang w:val="en-US" w:eastAsia="en-US"/>
    </w:rPr>
  </w:style>
  <w:style w:type="paragraph" w:styleId="Fecha">
    <w:name w:val="Date"/>
    <w:next w:val="Textoindependiente"/>
    <w:link w:val="FechaCar"/>
    <w:qFormat/>
    <w:rsid w:val="0037449D"/>
    <w:pPr>
      <w:keepNext/>
      <w:keepLines/>
      <w:spacing w:after="200"/>
      <w:jc w:val="center"/>
    </w:pPr>
    <w:rPr>
      <w:rFonts w:ascii="Cambria" w:eastAsia="Cambria" w:hAnsi="Cambria"/>
      <w:sz w:val="24"/>
      <w:szCs w:val="24"/>
      <w:lang w:val="en-US" w:eastAsia="en-US"/>
    </w:rPr>
  </w:style>
  <w:style w:type="character" w:customStyle="1" w:styleId="FechaCar">
    <w:name w:val="Fecha Car"/>
    <w:basedOn w:val="Fuentedeprrafopredeter"/>
    <w:link w:val="Fecha"/>
    <w:rsid w:val="0037449D"/>
    <w:rPr>
      <w:rFonts w:ascii="Cambria" w:eastAsia="Cambria" w:hAnsi="Cambria"/>
      <w:sz w:val="24"/>
      <w:szCs w:val="24"/>
      <w:lang w:val="en-US" w:eastAsia="en-US"/>
    </w:rPr>
  </w:style>
  <w:style w:type="paragraph" w:customStyle="1" w:styleId="Abstract">
    <w:name w:val="Abstract"/>
    <w:basedOn w:val="Normal"/>
    <w:next w:val="Textoindependiente"/>
    <w:qFormat/>
    <w:rsid w:val="0037449D"/>
    <w:pPr>
      <w:keepNext/>
      <w:keepLines/>
      <w:spacing w:before="300" w:after="300"/>
    </w:pPr>
    <w:rPr>
      <w:rFonts w:ascii="Cambria" w:eastAsia="Cambria" w:hAnsi="Cambria"/>
      <w:sz w:val="20"/>
      <w:szCs w:val="20"/>
      <w:lang w:val="en-US" w:eastAsia="en-US"/>
    </w:rPr>
  </w:style>
  <w:style w:type="paragraph" w:customStyle="1" w:styleId="Bibliografa1">
    <w:name w:val="Bibliografía1"/>
    <w:basedOn w:val="Normal"/>
    <w:next w:val="Bibliografa"/>
    <w:qFormat/>
    <w:rsid w:val="0037449D"/>
    <w:pPr>
      <w:spacing w:after="200"/>
    </w:pPr>
    <w:rPr>
      <w:rFonts w:ascii="Cambria" w:eastAsia="Cambria" w:hAnsi="Cambria"/>
      <w:sz w:val="24"/>
      <w:szCs w:val="24"/>
      <w:lang w:val="en-US" w:eastAsia="en-US"/>
    </w:rPr>
  </w:style>
  <w:style w:type="paragraph" w:customStyle="1" w:styleId="Textodebloque1">
    <w:name w:val="Texto de bloque1"/>
    <w:basedOn w:val="Textoindependiente"/>
    <w:next w:val="Textoindependiente"/>
    <w:uiPriority w:val="9"/>
    <w:unhideWhenUsed/>
    <w:qFormat/>
    <w:rsid w:val="0037449D"/>
    <w:pPr>
      <w:spacing w:before="100" w:after="100"/>
    </w:pPr>
    <w:rPr>
      <w:rFonts w:ascii="Calibri" w:eastAsia="Times New Roman" w:hAnsi="Calibri"/>
      <w:bCs/>
      <w:sz w:val="20"/>
      <w:szCs w:val="20"/>
      <w:lang w:val="en-US" w:eastAsia="en-US"/>
    </w:rPr>
  </w:style>
  <w:style w:type="paragraph" w:customStyle="1" w:styleId="Textonotapie1">
    <w:name w:val="Texto nota pie1"/>
    <w:basedOn w:val="Normal"/>
    <w:next w:val="Textonotapie"/>
    <w:uiPriority w:val="9"/>
    <w:unhideWhenUsed/>
    <w:qFormat/>
    <w:rsid w:val="0037449D"/>
    <w:pPr>
      <w:spacing w:after="200"/>
    </w:pPr>
    <w:rPr>
      <w:rFonts w:ascii="Cambria" w:eastAsia="Cambria" w:hAnsi="Cambria"/>
      <w:sz w:val="24"/>
      <w:szCs w:val="24"/>
      <w:lang w:val="en-US" w:eastAsia="en-US"/>
    </w:rPr>
  </w:style>
  <w:style w:type="paragraph" w:customStyle="1" w:styleId="DefinitionTerm">
    <w:name w:val="Definition Term"/>
    <w:basedOn w:val="Normal"/>
    <w:next w:val="Definition"/>
    <w:rsid w:val="0037449D"/>
    <w:pPr>
      <w:keepNext/>
      <w:keepLines/>
    </w:pPr>
    <w:rPr>
      <w:rFonts w:ascii="Cambria" w:eastAsia="Cambria" w:hAnsi="Cambria"/>
      <w:b/>
      <w:sz w:val="24"/>
      <w:szCs w:val="24"/>
      <w:lang w:val="en-US" w:eastAsia="en-US"/>
    </w:rPr>
  </w:style>
  <w:style w:type="paragraph" w:customStyle="1" w:styleId="Definition">
    <w:name w:val="Definition"/>
    <w:basedOn w:val="Normal"/>
    <w:rsid w:val="0037449D"/>
    <w:pPr>
      <w:spacing w:after="200"/>
    </w:pPr>
    <w:rPr>
      <w:rFonts w:ascii="Cambria" w:eastAsia="Cambria" w:hAnsi="Cambria"/>
      <w:sz w:val="24"/>
      <w:szCs w:val="24"/>
      <w:lang w:val="en-US" w:eastAsia="en-US"/>
    </w:rPr>
  </w:style>
  <w:style w:type="paragraph" w:customStyle="1" w:styleId="Descripcin1">
    <w:name w:val="Descripción1"/>
    <w:basedOn w:val="Normal"/>
    <w:next w:val="Descripcin"/>
    <w:link w:val="DescripcinCar"/>
    <w:rsid w:val="0037449D"/>
    <w:pPr>
      <w:spacing w:after="120"/>
    </w:pPr>
    <w:rPr>
      <w:rFonts w:ascii="Cambria" w:eastAsia="Cambria" w:hAnsi="Cambria"/>
      <w:i/>
      <w:sz w:val="24"/>
      <w:szCs w:val="24"/>
      <w:lang w:val="en-US" w:eastAsia="en-US"/>
    </w:rPr>
  </w:style>
  <w:style w:type="paragraph" w:customStyle="1" w:styleId="TableCaption">
    <w:name w:val="Table Caption"/>
    <w:basedOn w:val="Descripcin"/>
    <w:rsid w:val="0037449D"/>
    <w:pPr>
      <w:keepNext/>
      <w:spacing w:after="120"/>
    </w:pPr>
    <w:rPr>
      <w:rFonts w:ascii="Cambria" w:eastAsia="Cambria" w:hAnsi="Cambria"/>
      <w:iCs w:val="0"/>
      <w:color w:val="auto"/>
      <w:sz w:val="24"/>
      <w:szCs w:val="24"/>
      <w:lang w:val="en-US" w:eastAsia="en-US"/>
    </w:rPr>
  </w:style>
  <w:style w:type="paragraph" w:customStyle="1" w:styleId="ImageCaption">
    <w:name w:val="Image Caption"/>
    <w:basedOn w:val="Descripcin"/>
    <w:rsid w:val="0037449D"/>
    <w:pPr>
      <w:spacing w:after="120"/>
    </w:pPr>
    <w:rPr>
      <w:rFonts w:ascii="Cambria" w:eastAsia="Cambria" w:hAnsi="Cambria"/>
      <w:iCs w:val="0"/>
      <w:color w:val="auto"/>
      <w:sz w:val="24"/>
      <w:szCs w:val="24"/>
      <w:lang w:val="en-US" w:eastAsia="en-US"/>
    </w:rPr>
  </w:style>
  <w:style w:type="paragraph" w:customStyle="1" w:styleId="Figure">
    <w:name w:val="Figure"/>
    <w:basedOn w:val="Normal"/>
    <w:rsid w:val="0037449D"/>
    <w:pPr>
      <w:spacing w:after="200"/>
    </w:pPr>
    <w:rPr>
      <w:rFonts w:ascii="Cambria" w:eastAsia="Cambria" w:hAnsi="Cambria"/>
      <w:sz w:val="24"/>
      <w:szCs w:val="24"/>
      <w:lang w:val="en-US" w:eastAsia="en-US"/>
    </w:rPr>
  </w:style>
  <w:style w:type="paragraph" w:customStyle="1" w:styleId="FigurewithCaption">
    <w:name w:val="Figure with Caption"/>
    <w:basedOn w:val="Figure"/>
    <w:rsid w:val="0037449D"/>
    <w:pPr>
      <w:keepNext/>
    </w:pPr>
  </w:style>
  <w:style w:type="character" w:customStyle="1" w:styleId="DescripcinCar">
    <w:name w:val="Descripción Car"/>
    <w:basedOn w:val="Fuentedeprrafopredeter"/>
    <w:link w:val="Descripcin1"/>
    <w:rsid w:val="0037449D"/>
  </w:style>
  <w:style w:type="character" w:customStyle="1" w:styleId="VerbatimChar">
    <w:name w:val="Verbatim Char"/>
    <w:basedOn w:val="DescripcinCar"/>
    <w:link w:val="SourceCode"/>
    <w:rsid w:val="0037449D"/>
    <w:rPr>
      <w:rFonts w:ascii="Consolas" w:hAnsi="Consolas"/>
    </w:rPr>
  </w:style>
  <w:style w:type="character" w:styleId="Refdenotaalpie">
    <w:name w:val="footnote reference"/>
    <w:basedOn w:val="DescripcinCar"/>
    <w:uiPriority w:val="99"/>
    <w:rsid w:val="0037449D"/>
    <w:rPr>
      <w:vertAlign w:val="superscript"/>
    </w:rPr>
  </w:style>
  <w:style w:type="character" w:customStyle="1" w:styleId="Hipervnculo1">
    <w:name w:val="Hipervínculo1"/>
    <w:basedOn w:val="DescripcinCar"/>
    <w:rsid w:val="0037449D"/>
    <w:rPr>
      <w:color w:val="4F81BD"/>
    </w:rPr>
  </w:style>
  <w:style w:type="paragraph" w:customStyle="1" w:styleId="TtuloTDC1">
    <w:name w:val="Título TDC1"/>
    <w:basedOn w:val="Ttulo1"/>
    <w:next w:val="Textoindependiente"/>
    <w:uiPriority w:val="39"/>
    <w:unhideWhenUsed/>
    <w:qFormat/>
    <w:rsid w:val="0037449D"/>
    <w:pPr>
      <w:spacing w:line="259" w:lineRule="auto"/>
      <w:outlineLvl w:val="9"/>
    </w:pPr>
    <w:rPr>
      <w:lang w:val="en-US" w:eastAsia="en-US"/>
    </w:rPr>
  </w:style>
  <w:style w:type="paragraph" w:customStyle="1" w:styleId="SourceCode">
    <w:name w:val="Source Code"/>
    <w:basedOn w:val="Normal"/>
    <w:link w:val="VerbatimChar"/>
    <w:rsid w:val="0037449D"/>
    <w:pPr>
      <w:wordWrap w:val="0"/>
      <w:spacing w:after="200"/>
    </w:pPr>
    <w:rPr>
      <w:rFonts w:ascii="Consolas" w:hAnsi="Consolas"/>
    </w:rPr>
  </w:style>
  <w:style w:type="character" w:customStyle="1" w:styleId="KeywordTok">
    <w:name w:val="KeywordTok"/>
    <w:basedOn w:val="VerbatimChar"/>
    <w:rsid w:val="0037449D"/>
    <w:rPr>
      <w:rFonts w:ascii="Consolas" w:hAnsi="Consolas"/>
      <w:b/>
      <w:color w:val="007020"/>
    </w:rPr>
  </w:style>
  <w:style w:type="character" w:customStyle="1" w:styleId="DataTypeTok">
    <w:name w:val="DataTypeTok"/>
    <w:basedOn w:val="VerbatimChar"/>
    <w:rsid w:val="0037449D"/>
    <w:rPr>
      <w:rFonts w:ascii="Consolas" w:hAnsi="Consolas"/>
      <w:color w:val="902000"/>
    </w:rPr>
  </w:style>
  <w:style w:type="character" w:customStyle="1" w:styleId="DecValTok">
    <w:name w:val="DecValTok"/>
    <w:basedOn w:val="VerbatimChar"/>
    <w:rsid w:val="0037449D"/>
    <w:rPr>
      <w:rFonts w:ascii="Consolas" w:hAnsi="Consolas"/>
      <w:color w:val="40A070"/>
    </w:rPr>
  </w:style>
  <w:style w:type="character" w:customStyle="1" w:styleId="BaseNTok">
    <w:name w:val="BaseNTok"/>
    <w:basedOn w:val="VerbatimChar"/>
    <w:rsid w:val="0037449D"/>
    <w:rPr>
      <w:rFonts w:ascii="Consolas" w:hAnsi="Consolas"/>
      <w:color w:val="40A070"/>
    </w:rPr>
  </w:style>
  <w:style w:type="character" w:customStyle="1" w:styleId="FloatTok">
    <w:name w:val="FloatTok"/>
    <w:basedOn w:val="VerbatimChar"/>
    <w:rsid w:val="0037449D"/>
    <w:rPr>
      <w:rFonts w:ascii="Consolas" w:hAnsi="Consolas"/>
      <w:color w:val="40A070"/>
    </w:rPr>
  </w:style>
  <w:style w:type="character" w:customStyle="1" w:styleId="ConstantTok">
    <w:name w:val="ConstantTok"/>
    <w:basedOn w:val="VerbatimChar"/>
    <w:rsid w:val="0037449D"/>
    <w:rPr>
      <w:rFonts w:ascii="Consolas" w:hAnsi="Consolas"/>
      <w:color w:val="880000"/>
    </w:rPr>
  </w:style>
  <w:style w:type="character" w:customStyle="1" w:styleId="CharTok">
    <w:name w:val="CharTok"/>
    <w:basedOn w:val="VerbatimChar"/>
    <w:rsid w:val="0037449D"/>
    <w:rPr>
      <w:rFonts w:ascii="Consolas" w:hAnsi="Consolas"/>
      <w:color w:val="4070A0"/>
    </w:rPr>
  </w:style>
  <w:style w:type="character" w:customStyle="1" w:styleId="SpecialCharTok">
    <w:name w:val="SpecialCharTok"/>
    <w:basedOn w:val="VerbatimChar"/>
    <w:rsid w:val="0037449D"/>
    <w:rPr>
      <w:rFonts w:ascii="Consolas" w:hAnsi="Consolas"/>
      <w:color w:val="4070A0"/>
    </w:rPr>
  </w:style>
  <w:style w:type="character" w:customStyle="1" w:styleId="StringTok">
    <w:name w:val="StringTok"/>
    <w:basedOn w:val="VerbatimChar"/>
    <w:rsid w:val="0037449D"/>
    <w:rPr>
      <w:rFonts w:ascii="Consolas" w:hAnsi="Consolas"/>
      <w:color w:val="4070A0"/>
    </w:rPr>
  </w:style>
  <w:style w:type="character" w:customStyle="1" w:styleId="VerbatimStringTok">
    <w:name w:val="VerbatimStringTok"/>
    <w:basedOn w:val="VerbatimChar"/>
    <w:rsid w:val="0037449D"/>
    <w:rPr>
      <w:rFonts w:ascii="Consolas" w:hAnsi="Consolas"/>
      <w:color w:val="4070A0"/>
    </w:rPr>
  </w:style>
  <w:style w:type="character" w:customStyle="1" w:styleId="SpecialStringTok">
    <w:name w:val="SpecialStringTok"/>
    <w:basedOn w:val="VerbatimChar"/>
    <w:rsid w:val="0037449D"/>
    <w:rPr>
      <w:rFonts w:ascii="Consolas" w:hAnsi="Consolas"/>
      <w:color w:val="BB6688"/>
    </w:rPr>
  </w:style>
  <w:style w:type="character" w:customStyle="1" w:styleId="ImportTok">
    <w:name w:val="ImportTok"/>
    <w:basedOn w:val="VerbatimChar"/>
    <w:rsid w:val="0037449D"/>
    <w:rPr>
      <w:rFonts w:ascii="Consolas" w:hAnsi="Consolas"/>
    </w:rPr>
  </w:style>
  <w:style w:type="character" w:customStyle="1" w:styleId="CommentTok">
    <w:name w:val="CommentTok"/>
    <w:basedOn w:val="VerbatimChar"/>
    <w:rsid w:val="0037449D"/>
    <w:rPr>
      <w:rFonts w:ascii="Consolas" w:hAnsi="Consolas"/>
      <w:i/>
      <w:color w:val="60A0B0"/>
    </w:rPr>
  </w:style>
  <w:style w:type="character" w:customStyle="1" w:styleId="DocumentationTok">
    <w:name w:val="DocumentationTok"/>
    <w:basedOn w:val="VerbatimChar"/>
    <w:rsid w:val="0037449D"/>
    <w:rPr>
      <w:rFonts w:ascii="Consolas" w:hAnsi="Consolas"/>
      <w:i/>
      <w:color w:val="BA2121"/>
    </w:rPr>
  </w:style>
  <w:style w:type="character" w:customStyle="1" w:styleId="AnnotationTok">
    <w:name w:val="AnnotationTok"/>
    <w:basedOn w:val="VerbatimChar"/>
    <w:rsid w:val="0037449D"/>
    <w:rPr>
      <w:rFonts w:ascii="Consolas" w:hAnsi="Consolas"/>
      <w:b/>
      <w:i/>
      <w:color w:val="60A0B0"/>
    </w:rPr>
  </w:style>
  <w:style w:type="character" w:customStyle="1" w:styleId="CommentVarTok">
    <w:name w:val="CommentVarTok"/>
    <w:basedOn w:val="VerbatimChar"/>
    <w:rsid w:val="0037449D"/>
    <w:rPr>
      <w:rFonts w:ascii="Consolas" w:hAnsi="Consolas"/>
      <w:b/>
      <w:i/>
      <w:color w:val="60A0B0"/>
    </w:rPr>
  </w:style>
  <w:style w:type="character" w:customStyle="1" w:styleId="OtherTok">
    <w:name w:val="OtherTok"/>
    <w:basedOn w:val="VerbatimChar"/>
    <w:rsid w:val="0037449D"/>
    <w:rPr>
      <w:rFonts w:ascii="Consolas" w:hAnsi="Consolas"/>
      <w:color w:val="007020"/>
    </w:rPr>
  </w:style>
  <w:style w:type="character" w:customStyle="1" w:styleId="FunctionTok">
    <w:name w:val="FunctionTok"/>
    <w:basedOn w:val="VerbatimChar"/>
    <w:rsid w:val="0037449D"/>
    <w:rPr>
      <w:rFonts w:ascii="Consolas" w:hAnsi="Consolas"/>
      <w:color w:val="06287E"/>
    </w:rPr>
  </w:style>
  <w:style w:type="character" w:customStyle="1" w:styleId="VariableTok">
    <w:name w:val="VariableTok"/>
    <w:basedOn w:val="VerbatimChar"/>
    <w:rsid w:val="0037449D"/>
    <w:rPr>
      <w:rFonts w:ascii="Consolas" w:hAnsi="Consolas"/>
      <w:color w:val="19177C"/>
    </w:rPr>
  </w:style>
  <w:style w:type="character" w:customStyle="1" w:styleId="ControlFlowTok">
    <w:name w:val="ControlFlowTok"/>
    <w:basedOn w:val="VerbatimChar"/>
    <w:rsid w:val="0037449D"/>
    <w:rPr>
      <w:rFonts w:ascii="Consolas" w:hAnsi="Consolas"/>
      <w:b/>
      <w:color w:val="007020"/>
    </w:rPr>
  </w:style>
  <w:style w:type="character" w:customStyle="1" w:styleId="OperatorTok">
    <w:name w:val="OperatorTok"/>
    <w:basedOn w:val="VerbatimChar"/>
    <w:rsid w:val="0037449D"/>
    <w:rPr>
      <w:rFonts w:ascii="Consolas" w:hAnsi="Consolas"/>
      <w:color w:val="666666"/>
    </w:rPr>
  </w:style>
  <w:style w:type="character" w:customStyle="1" w:styleId="BuiltInTok">
    <w:name w:val="BuiltInTok"/>
    <w:basedOn w:val="VerbatimChar"/>
    <w:rsid w:val="0037449D"/>
    <w:rPr>
      <w:rFonts w:ascii="Consolas" w:hAnsi="Consolas"/>
    </w:rPr>
  </w:style>
  <w:style w:type="character" w:customStyle="1" w:styleId="ExtensionTok">
    <w:name w:val="ExtensionTok"/>
    <w:basedOn w:val="VerbatimChar"/>
    <w:rsid w:val="0037449D"/>
    <w:rPr>
      <w:rFonts w:ascii="Consolas" w:hAnsi="Consolas"/>
    </w:rPr>
  </w:style>
  <w:style w:type="character" w:customStyle="1" w:styleId="PreprocessorTok">
    <w:name w:val="PreprocessorTok"/>
    <w:basedOn w:val="VerbatimChar"/>
    <w:rsid w:val="0037449D"/>
    <w:rPr>
      <w:rFonts w:ascii="Consolas" w:hAnsi="Consolas"/>
      <w:color w:val="BC7A00"/>
    </w:rPr>
  </w:style>
  <w:style w:type="character" w:customStyle="1" w:styleId="AttributeTok">
    <w:name w:val="AttributeTok"/>
    <w:basedOn w:val="VerbatimChar"/>
    <w:rsid w:val="0037449D"/>
    <w:rPr>
      <w:rFonts w:ascii="Consolas" w:hAnsi="Consolas"/>
      <w:color w:val="7D9029"/>
    </w:rPr>
  </w:style>
  <w:style w:type="character" w:customStyle="1" w:styleId="RegionMarkerTok">
    <w:name w:val="RegionMarkerTok"/>
    <w:basedOn w:val="VerbatimChar"/>
    <w:rsid w:val="0037449D"/>
    <w:rPr>
      <w:rFonts w:ascii="Consolas" w:hAnsi="Consolas"/>
    </w:rPr>
  </w:style>
  <w:style w:type="character" w:customStyle="1" w:styleId="InformationTok">
    <w:name w:val="InformationTok"/>
    <w:basedOn w:val="VerbatimChar"/>
    <w:rsid w:val="0037449D"/>
    <w:rPr>
      <w:rFonts w:ascii="Consolas" w:hAnsi="Consolas"/>
      <w:b/>
      <w:i/>
      <w:color w:val="60A0B0"/>
    </w:rPr>
  </w:style>
  <w:style w:type="character" w:customStyle="1" w:styleId="WarningTok">
    <w:name w:val="WarningTok"/>
    <w:basedOn w:val="VerbatimChar"/>
    <w:rsid w:val="0037449D"/>
    <w:rPr>
      <w:rFonts w:ascii="Consolas" w:hAnsi="Consolas"/>
      <w:b/>
      <w:i/>
      <w:color w:val="60A0B0"/>
    </w:rPr>
  </w:style>
  <w:style w:type="character" w:customStyle="1" w:styleId="AlertTok">
    <w:name w:val="AlertTok"/>
    <w:basedOn w:val="VerbatimChar"/>
    <w:rsid w:val="0037449D"/>
    <w:rPr>
      <w:rFonts w:ascii="Consolas" w:hAnsi="Consolas"/>
      <w:b/>
      <w:color w:val="FF0000"/>
    </w:rPr>
  </w:style>
  <w:style w:type="character" w:customStyle="1" w:styleId="ErrorTok">
    <w:name w:val="ErrorTok"/>
    <w:basedOn w:val="VerbatimChar"/>
    <w:rsid w:val="0037449D"/>
    <w:rPr>
      <w:rFonts w:ascii="Consolas" w:hAnsi="Consolas"/>
      <w:b/>
      <w:color w:val="FF0000"/>
    </w:rPr>
  </w:style>
  <w:style w:type="character" w:customStyle="1" w:styleId="NormalTok">
    <w:name w:val="NormalTok"/>
    <w:basedOn w:val="VerbatimChar"/>
    <w:rsid w:val="0037449D"/>
    <w:rPr>
      <w:rFonts w:ascii="Consolas" w:hAnsi="Consolas"/>
    </w:rPr>
  </w:style>
  <w:style w:type="character" w:customStyle="1" w:styleId="UnresolvedMention">
    <w:name w:val="Unresolved Mention"/>
    <w:basedOn w:val="Fuentedeprrafopredeter"/>
    <w:uiPriority w:val="99"/>
    <w:semiHidden/>
    <w:unhideWhenUsed/>
    <w:rsid w:val="0037449D"/>
    <w:rPr>
      <w:color w:val="605E5C"/>
      <w:shd w:val="clear" w:color="auto" w:fill="E1DFDD"/>
    </w:rPr>
  </w:style>
  <w:style w:type="character" w:styleId="Textodelmarcadordeposicin">
    <w:name w:val="Placeholder Text"/>
    <w:basedOn w:val="Fuentedeprrafopredeter"/>
    <w:semiHidden/>
    <w:rsid w:val="0037449D"/>
    <w:rPr>
      <w:color w:val="808080"/>
    </w:rPr>
  </w:style>
  <w:style w:type="table" w:styleId="Tablaconcuadrcula">
    <w:name w:val="Table Grid"/>
    <w:basedOn w:val="Tablanormal"/>
    <w:rsid w:val="0037449D"/>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7449D"/>
    <w:pPr>
      <w:spacing w:after="120"/>
    </w:pPr>
  </w:style>
  <w:style w:type="character" w:customStyle="1" w:styleId="TextoindependienteCar">
    <w:name w:val="Texto independiente Car"/>
    <w:basedOn w:val="Fuentedeprrafopredeter"/>
    <w:link w:val="Textoindependiente"/>
    <w:uiPriority w:val="99"/>
    <w:semiHidden/>
    <w:rsid w:val="0037449D"/>
  </w:style>
  <w:style w:type="paragraph" w:styleId="Ttulo">
    <w:name w:val="Title"/>
    <w:basedOn w:val="Normal"/>
    <w:next w:val="Normal"/>
    <w:link w:val="TtuloCar"/>
    <w:uiPriority w:val="10"/>
    <w:qFormat/>
    <w:rsid w:val="0037449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449D"/>
    <w:rPr>
      <w:rFonts w:asciiTheme="majorHAnsi" w:eastAsiaTheme="majorEastAsia" w:hAnsiTheme="majorHAnsi" w:cstheme="majorBidi"/>
      <w:spacing w:val="-10"/>
      <w:kern w:val="28"/>
      <w:sz w:val="56"/>
      <w:szCs w:val="56"/>
    </w:rPr>
  </w:style>
  <w:style w:type="paragraph" w:styleId="Bibliografa">
    <w:name w:val="Bibliography"/>
    <w:basedOn w:val="Normal"/>
    <w:next w:val="Normal"/>
    <w:uiPriority w:val="37"/>
    <w:semiHidden/>
    <w:unhideWhenUsed/>
    <w:rsid w:val="0037449D"/>
  </w:style>
  <w:style w:type="paragraph" w:styleId="Textonotapie">
    <w:name w:val="footnote text"/>
    <w:basedOn w:val="Normal"/>
    <w:link w:val="TextonotapieCar"/>
    <w:uiPriority w:val="99"/>
    <w:semiHidden/>
    <w:unhideWhenUsed/>
    <w:rsid w:val="0037449D"/>
    <w:rPr>
      <w:sz w:val="20"/>
      <w:szCs w:val="20"/>
    </w:rPr>
  </w:style>
  <w:style w:type="character" w:customStyle="1" w:styleId="TextonotapieCar">
    <w:name w:val="Texto nota pie Car"/>
    <w:basedOn w:val="Fuentedeprrafopredeter"/>
    <w:link w:val="Textonotapie"/>
    <w:uiPriority w:val="99"/>
    <w:semiHidden/>
    <w:rsid w:val="0037449D"/>
    <w:rPr>
      <w:sz w:val="20"/>
      <w:szCs w:val="20"/>
    </w:rPr>
  </w:style>
  <w:style w:type="paragraph" w:styleId="Descripcin">
    <w:name w:val="caption"/>
    <w:basedOn w:val="Normal"/>
    <w:next w:val="Normal"/>
    <w:uiPriority w:val="35"/>
    <w:semiHidden/>
    <w:unhideWhenUsed/>
    <w:qFormat/>
    <w:rsid w:val="0037449D"/>
    <w:pPr>
      <w:spacing w:after="200"/>
    </w:pPr>
    <w:rPr>
      <w:i/>
      <w:iCs/>
      <w:color w:val="1F497D" w:themeColor="text2"/>
      <w:sz w:val="18"/>
      <w:szCs w:val="18"/>
    </w:rPr>
  </w:style>
  <w:style w:type="character" w:styleId="Hipervnculo">
    <w:name w:val="Hyperlink"/>
    <w:basedOn w:val="Fuentedeprrafopredeter"/>
    <w:uiPriority w:val="99"/>
    <w:semiHidden/>
    <w:unhideWhenUsed/>
    <w:rsid w:val="0037449D"/>
    <w:rPr>
      <w:color w:val="0000FF" w:themeColor="hyperlink"/>
      <w:u w:val="single"/>
    </w:rPr>
  </w:style>
  <w:style w:type="character" w:customStyle="1" w:styleId="Ttulo1Car">
    <w:name w:val="Título 1 Car"/>
    <w:basedOn w:val="Fuentedeprrafopredeter"/>
    <w:link w:val="Ttulo1"/>
    <w:uiPriority w:val="9"/>
    <w:rsid w:val="0037449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81458"/>
    <w:pPr>
      <w:spacing w:before="100" w:beforeAutospacing="1" w:after="100" w:afterAutospacing="1"/>
    </w:pPr>
    <w:rPr>
      <w:rFonts w:eastAsia="Times New Roman"/>
      <w:sz w:val="24"/>
      <w:szCs w:val="24"/>
      <w:lang w:val="en-GB" w:eastAsia="en-GB"/>
    </w:rPr>
  </w:style>
  <w:style w:type="character" w:styleId="Textoennegrita">
    <w:name w:val="Strong"/>
    <w:basedOn w:val="Fuentedeprrafopredeter"/>
    <w:uiPriority w:val="22"/>
    <w:qFormat/>
    <w:rsid w:val="00681458"/>
    <w:rPr>
      <w:b/>
      <w:bCs/>
    </w:rPr>
  </w:style>
  <w:style w:type="character" w:customStyle="1" w:styleId="hgkelc">
    <w:name w:val="hgkelc"/>
    <w:basedOn w:val="Fuentedeprrafopredeter"/>
    <w:rsid w:val="00B9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2993">
      <w:bodyDiv w:val="1"/>
      <w:marLeft w:val="0"/>
      <w:marRight w:val="0"/>
      <w:marTop w:val="0"/>
      <w:marBottom w:val="0"/>
      <w:divBdr>
        <w:top w:val="none" w:sz="0" w:space="0" w:color="auto"/>
        <w:left w:val="none" w:sz="0" w:space="0" w:color="auto"/>
        <w:bottom w:val="none" w:sz="0" w:space="0" w:color="auto"/>
        <w:right w:val="none" w:sz="0" w:space="0" w:color="auto"/>
      </w:divBdr>
    </w:div>
    <w:div w:id="1269584890">
      <w:bodyDiv w:val="1"/>
      <w:marLeft w:val="0"/>
      <w:marRight w:val="0"/>
      <w:marTop w:val="0"/>
      <w:marBottom w:val="0"/>
      <w:divBdr>
        <w:top w:val="none" w:sz="0" w:space="0" w:color="auto"/>
        <w:left w:val="none" w:sz="0" w:space="0" w:color="auto"/>
        <w:bottom w:val="none" w:sz="0" w:space="0" w:color="auto"/>
        <w:right w:val="none" w:sz="0" w:space="0" w:color="auto"/>
      </w:divBdr>
      <w:divsChild>
        <w:div w:id="161887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alnet.unirioja.es/servlet/articulo?codigo=5153289" TargetMode="External"/><Relationship Id="rId3" Type="http://schemas.openxmlformats.org/officeDocument/2006/relationships/customXml" Target="../customXml/item3.xml"/><Relationship Id="rId21" Type="http://schemas.openxmlformats.org/officeDocument/2006/relationships/hyperlink" Target="https://dialnet.unirioja.es/servlet/autor?codigo=6343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ialnet.unirioja.es/servlet/autor?codigo=210766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alnet.unirioja.es/servlet/autor?codigo=22987" TargetMode="External"/><Relationship Id="rId20" Type="http://schemas.openxmlformats.org/officeDocument/2006/relationships/hyperlink" Target="https://dialnet.unirioja.es/servlet/autor?codigo=5846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alnet.unirioja.es/servlet/autor?codigo=2039954" TargetMode="External"/><Relationship Id="rId23" Type="http://schemas.openxmlformats.org/officeDocument/2006/relationships/hyperlink" Target="https://dialnet.unirioja.es/servlet/libro?codigo=498918" TargetMode="External"/><Relationship Id="rId10" Type="http://schemas.openxmlformats.org/officeDocument/2006/relationships/endnotes" Target="endnotes.xml"/><Relationship Id="rId19" Type="http://schemas.openxmlformats.org/officeDocument/2006/relationships/hyperlink" Target="https://dialnet.unirioja.es/servlet/autor?codigo=7517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rumvoorsociaalbeleid.be/sites/default/files/CSB%20Working%20Paper%2011%2003_March%202011.pdf" TargetMode="External"/><Relationship Id="rId22" Type="http://schemas.openxmlformats.org/officeDocument/2006/relationships/hyperlink" Target="https://dialnet.unirioja.es/servlet/autor?codigo=65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EF0FBBFEAD894B8A318E46E679AAA1" ma:contentTypeVersion="10" ma:contentTypeDescription="Crear nuevo documento." ma:contentTypeScope="" ma:versionID="e6e8eef608d2a7ffeec7ffed719c40ae">
  <xsd:schema xmlns:xsd="http://www.w3.org/2001/XMLSchema" xmlns:xs="http://www.w3.org/2001/XMLSchema" xmlns:p="http://schemas.microsoft.com/office/2006/metadata/properties" xmlns:ns3="aeefdce8-d822-422b-bc0f-3e64b4c1b85c" targetNamespace="http://schemas.microsoft.com/office/2006/metadata/properties" ma:root="true" ma:fieldsID="245e41cc91fe0277d04a9bf3ff526a20" ns3:_="">
    <xsd:import namespace="aeefdce8-d822-422b-bc0f-3e64b4c1b8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fdce8-d822-422b-bc0f-3e64b4c1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Kam82</b:Tag>
    <b:SourceType>Book</b:SourceType>
    <b:Guid>{16A6B061-AB62-473B-94F1-FB855A1ACBCE}</b:Guid>
    <b:Title>Market Structure and Innovation</b:Title>
    <b:Year>1982</b:Year>
    <b:Pages>241</b:Pages>
    <b:Author>
      <b:Author>
        <b:NameList>
          <b:Person>
            <b:Last>Kamien</b:Last>
            <b:First>M.</b:First>
          </b:Person>
          <b:Person>
            <b:Last>Schwartz</b:Last>
            <b:First>N.</b:First>
          </b:Person>
        </b:NameList>
      </b:Author>
    </b:Author>
    <b:City>Cambridge</b:City>
    <b:Publisher>Cambridge University Press</b:Publisher>
    <b:RefOrder>37</b:RefOrder>
  </b:Source>
  <b:Source>
    <b:Tag>Coh89</b:Tag>
    <b:SourceType>JournalArticle</b:SourceType>
    <b:Guid>{B8C94A4B-B114-4B03-BC5D-342890AFA2C1}</b:Guid>
    <b:Author>
      <b:Author>
        <b:NameList>
          <b:Person>
            <b:Last>Cohen</b:Last>
            <b:First>W.</b:First>
          </b:Person>
          <b:Person>
            <b:Last>Levinthal</b:Last>
            <b:First>D.</b:First>
          </b:Person>
        </b:NameList>
      </b:Author>
    </b:Author>
    <b:Title>Innovation and learning: The two faces of R&amp;D</b:Title>
    <b:JournalName>Economic Journal</b:JournalName>
    <b:Year>1989</b:Year>
    <b:Pages>569-596</b:Pages>
    <b:Volume>99</b:Volume>
    <b:Issue>397</b:Issue>
    <b:RefOrder>25</b:RefOrder>
  </b:Source>
  <b:Source>
    <b:Tag>Cha01</b:Tag>
    <b:SourceType>JournalArticle</b:SourceType>
    <b:Guid>{61316348-985D-4D87-B98A-9CA29E8B06E7}</b:Guid>
    <b:Title> The Stock Market Valuation of Research and Development Expenditures </b:Title>
    <b:Year>2001</b:Year>
    <b:Author>
      <b:Author>
        <b:NameList>
          <b:Person>
            <b:Last>Chan</b:Last>
            <b:First>L.</b:First>
            <b:Middle>K.</b:Middle>
          </b:Person>
          <b:Person>
            <b:Last>Lakonishok</b:Last>
            <b:First>J.</b:First>
          </b:Person>
          <b:Person>
            <b:Last>Sougiannis</b:Last>
            <b:First>T.</b:First>
          </b:Person>
        </b:NameList>
      </b:Author>
    </b:Author>
    <b:JournalName>The Journal of Finance</b:JournalName>
    <b:Pages>2431-2456</b:Pages>
    <b:Volume>56</b:Volume>
    <b:RefOrder>38</b:RefOrder>
  </b:Source>
</b:Sources>
</file>

<file path=customXml/itemProps1.xml><?xml version="1.0" encoding="utf-8"?>
<ds:datastoreItem xmlns:ds="http://schemas.openxmlformats.org/officeDocument/2006/customXml" ds:itemID="{614F8101-9141-4491-A4EB-C3B684C710F0}">
  <ds:schemaRefs>
    <ds:schemaRef ds:uri="http://schemas.microsoft.com/sharepoint/v3/contenttype/forms"/>
  </ds:schemaRefs>
</ds:datastoreItem>
</file>

<file path=customXml/itemProps2.xml><?xml version="1.0" encoding="utf-8"?>
<ds:datastoreItem xmlns:ds="http://schemas.openxmlformats.org/officeDocument/2006/customXml" ds:itemID="{19B98A1D-10ED-4357-928B-D231ACF252FB}">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aeefdce8-d822-422b-bc0f-3e64b4c1b85c"/>
    <ds:schemaRef ds:uri="http://purl.org/dc/elements/1.1/"/>
  </ds:schemaRefs>
</ds:datastoreItem>
</file>

<file path=customXml/itemProps3.xml><?xml version="1.0" encoding="utf-8"?>
<ds:datastoreItem xmlns:ds="http://schemas.openxmlformats.org/officeDocument/2006/customXml" ds:itemID="{24B55E33-0E1B-4150-8638-4B79C829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fdce8-d822-422b-bc0f-3e64b4c1b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22DEB-70FE-48E9-96D9-CAC5EEB7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8625</Words>
  <Characters>45889</Characters>
  <Application>Microsoft Office Word</Application>
  <DocSecurity>0</DocSecurity>
  <Lines>1480</Lines>
  <Paragraphs>1112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Macarena  Lozano Oyola</cp:lastModifiedBy>
  <cp:revision>2</cp:revision>
  <cp:lastPrinted>2019-07-17T16:10:00Z</cp:lastPrinted>
  <dcterms:created xsi:type="dcterms:W3CDTF">2020-10-20T08:43:00Z</dcterms:created>
  <dcterms:modified xsi:type="dcterms:W3CDTF">2020-10-20T08:43:00Z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0x01010050EF0FBBFEAD894B8A318E46E679AAA1</vt:lpwstr>
  </property>
</Properties>
</file>